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29E1A">
      <w:pPr>
        <w:pStyle w:val="2"/>
        <w:keepNext w:val="0"/>
        <w:keepLines w:val="0"/>
        <w:widowControl/>
        <w:suppressLineNumbers w:val="0"/>
      </w:pPr>
      <w:r>
        <w:t>粤港澳大湾区周边八市征地补偿标准比较分析报告</w:t>
      </w:r>
    </w:p>
    <w:p w14:paraId="66B1FFAB">
      <w:pPr>
        <w:pStyle w:val="3"/>
        <w:keepNext w:val="0"/>
        <w:keepLines w:val="0"/>
        <w:widowControl/>
        <w:suppressLineNumbers w:val="0"/>
      </w:pPr>
      <w:r>
        <w:t>1. 报告引言与分析说明</w:t>
      </w:r>
    </w:p>
    <w:p w14:paraId="428EECD8">
      <w:pPr>
        <w:pStyle w:val="5"/>
        <w:keepNext w:val="0"/>
        <w:keepLines w:val="0"/>
        <w:widowControl/>
        <w:suppressLineNumbers w:val="0"/>
      </w:pPr>
      <w:r>
        <w:t>本报告旨在系统性地比较与分析广东省内八个关键地区——</w:t>
      </w:r>
      <w:r>
        <w:rPr>
          <w:b/>
          <w:bCs/>
        </w:rPr>
        <w:t>清远市清新区、韶关市（浈江/武江区）、梅州市（梅县区）、河源市（市区）、云浮市（云城区）、肇庆市（端州区）、揭阳市（市区）及阳江市（市辖区）</w:t>
      </w:r>
      <w:r>
        <w:t>——在征收土地过程中，针对地上附着物与青苗的核心补偿标准。通过对各地区官方发布的政策文件进行梳理与量化对比，本报告致力于揭示区域间补偿政策的共性与差异，为相关领域的决策提供数据支持与参考洞察。</w:t>
      </w:r>
    </w:p>
    <w:p w14:paraId="05B0279D">
      <w:pPr>
        <w:pStyle w:val="5"/>
        <w:keepNext w:val="0"/>
        <w:keepLines w:val="0"/>
        <w:widowControl/>
        <w:suppressLineNumbers w:val="0"/>
      </w:pPr>
      <w:r>
        <w:t>需要在此特别指出，根据核心参考资料《广东八地征地补偿标准对比研究》文件及原始政策档案，本次分析的资料中</w:t>
      </w:r>
      <w:r>
        <w:rPr>
          <w:b/>
          <w:bCs/>
        </w:rPr>
        <w:t>并未包含基准参照地“清远市清城区”的具体补偿标准文件</w:t>
      </w:r>
      <w:r>
        <w:t>。因此，为确保分析的严谨性与可比性，本次分析将遵循该研究文件的建议，采用数据体系最为详尽的**“清远市清新区”**作为核心参考基准，对其他七个地区进行系统的横向对比与评估。</w:t>
      </w:r>
    </w:p>
    <w:p w14:paraId="4A178185">
      <w:pPr>
        <w:pStyle w:val="5"/>
        <w:keepNext w:val="0"/>
        <w:keepLines w:val="0"/>
        <w:widowControl/>
        <w:suppressLineNumbers w:val="0"/>
      </w:pPr>
      <w:r>
        <w:t>报告将聚焦于青苗补偿、建筑物重置、附属设施及特殊项目（如养殖与坟墓迁移）等关键类别，力求为读者呈现一幅清晰、量化的区域补偿标准图景。下文将通过详尽的数据对比，深入剖析各地区之间的标准差异。</w:t>
      </w:r>
    </w:p>
    <w:p w14:paraId="31645433">
      <w:pPr>
        <w:pStyle w:val="3"/>
        <w:keepNext w:val="0"/>
        <w:keepLines w:val="0"/>
        <w:widowControl/>
        <w:suppressLineNumbers w:val="0"/>
      </w:pPr>
      <w:r>
        <w:t>2. 核心补偿项目标准横向对比</w:t>
      </w:r>
    </w:p>
    <w:p w14:paraId="378CD989">
      <w:pPr>
        <w:pStyle w:val="5"/>
        <w:keepNext w:val="0"/>
        <w:keepLines w:val="0"/>
        <w:widowControl/>
        <w:suppressLineNumbers w:val="0"/>
      </w:pPr>
      <w:r>
        <w:t>本章节是报告的数据基石，其战略重要性在于通过综合表格的形式，直观地呈现八个地区在四大核心补偿类别上的具体标准差异。这种并列式的对比不仅清晰地揭示了各地区政策的量化差异，也为后续进行深入的差异化分析提供了坚实的数据基础。</w:t>
      </w:r>
    </w:p>
    <w:p w14:paraId="1A37B25B">
      <w:pPr>
        <w:pStyle w:val="4"/>
        <w:keepNext w:val="0"/>
        <w:keepLines w:val="0"/>
        <w:widowControl/>
        <w:suppressLineNumbers w:val="0"/>
      </w:pPr>
      <w:r>
        <w:rPr>
          <w:b/>
          <w:bCs/>
        </w:rPr>
        <w:t>表1：广东省部分地区征地补偿标准总览</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6"/>
        <w:gridCol w:w="288"/>
        <w:gridCol w:w="1024"/>
        <w:gridCol w:w="982"/>
        <w:gridCol w:w="1024"/>
        <w:gridCol w:w="982"/>
        <w:gridCol w:w="764"/>
        <w:gridCol w:w="982"/>
        <w:gridCol w:w="1091"/>
        <w:gridCol w:w="983"/>
      </w:tblGrid>
      <w:tr w14:paraId="5C2AB4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759179D">
            <w:pPr>
              <w:pStyle w:val="5"/>
              <w:keepNext w:val="0"/>
              <w:keepLines w:val="0"/>
              <w:widowControl/>
              <w:suppressLineNumbers w:val="0"/>
              <w:rPr>
                <w:rFonts w:hint="eastAsia" w:ascii="微软雅黑" w:hAnsi="微软雅黑" w:eastAsia="微软雅黑" w:cs="微软雅黑"/>
              </w:rPr>
            </w:pPr>
            <w:bookmarkStart w:id="0" w:name="_GoBack"/>
            <w:r>
              <w:rPr>
                <w:rFonts w:hint="eastAsia" w:ascii="微软雅黑" w:hAnsi="微软雅黑" w:eastAsia="微软雅黑" w:cs="微软雅黑"/>
              </w:rPr>
              <w:t>补偿大类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74A215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具体项目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5476290">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清远市清新区</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CE35200">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韶关 (浈江/武江)</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9DD5AC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梅州 (梅县)</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C16B9E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河源 (市区)</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F4A115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云浮 (云城区)</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FB2E39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肇庆 (端州)</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3B44DC0">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揭阳 (市区)</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4413B9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阳江 (市辖区)</w:t>
            </w:r>
          </w:p>
        </w:tc>
      </w:tr>
      <w:tr w14:paraId="2C2BEF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54D160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青苗类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E48E0C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水稻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63469C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2400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B1B6DD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3600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EFA864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1495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B4335F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2200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B664F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2075E4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E64477B">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4000-9000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424A1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2100 元/亩</w:t>
            </w:r>
          </w:p>
        </w:tc>
      </w:tr>
      <w:tr w14:paraId="7994CF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AAC37DD">
            <w:pPr>
              <w:rPr>
                <w:rFonts w:hint="eastAsia" w:ascii="微软雅黑" w:hAnsi="微软雅黑" w:eastAsia="微软雅黑" w:cs="微软雅黑"/>
                <w:sz w:val="24"/>
                <w:szCs w:val="24"/>
              </w:rPr>
            </w:pPr>
          </w:p>
        </w:tc>
        <w:tc>
          <w:tcPr>
            <w:tcW w:w="0" w:type="auto"/>
            <w:tcBorders>
              <w:top w:val="outset" w:color="auto" w:sz="6" w:space="0"/>
              <w:left w:val="outset" w:color="auto" w:sz="6" w:space="0"/>
              <w:bottom w:val="outset" w:color="auto" w:sz="6" w:space="0"/>
              <w:right w:val="outset" w:color="auto" w:sz="6" w:space="0"/>
            </w:tcBorders>
            <w:shd w:val="clear"/>
            <w:vAlign w:val="center"/>
          </w:tcPr>
          <w:p w14:paraId="22E8478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蔬菜类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3FA8652">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3800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79FA8D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8CCF42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2310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5A1DFD7">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2300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5B01C1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BFA66CC">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4900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2CFF56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4000-9000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1780F6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3000 元/亩</w:t>
            </w:r>
          </w:p>
        </w:tc>
      </w:tr>
      <w:tr w14:paraId="3BECC3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E0F091F">
            <w:pPr>
              <w:rPr>
                <w:rFonts w:hint="eastAsia" w:ascii="微软雅黑" w:hAnsi="微软雅黑" w:eastAsia="微软雅黑" w:cs="微软雅黑"/>
                <w:sz w:val="24"/>
                <w:szCs w:val="24"/>
              </w:rPr>
            </w:pPr>
          </w:p>
        </w:tc>
        <w:tc>
          <w:tcPr>
            <w:tcW w:w="0" w:type="auto"/>
            <w:tcBorders>
              <w:top w:val="outset" w:color="auto" w:sz="6" w:space="0"/>
              <w:left w:val="outset" w:color="auto" w:sz="6" w:space="0"/>
              <w:bottom w:val="outset" w:color="auto" w:sz="6" w:space="0"/>
              <w:right w:val="outset" w:color="auto" w:sz="6" w:space="0"/>
            </w:tcBorders>
            <w:shd w:val="clear"/>
            <w:vAlign w:val="center"/>
          </w:tcPr>
          <w:p w14:paraId="6B67D87B">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甘蔗</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A85C7A7">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947117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2600-3800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6E90DBA">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2540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5D7FEF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BD9753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125EE7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1500-4000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B02493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96ABFA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2100 元/亩</w:t>
            </w:r>
          </w:p>
        </w:tc>
      </w:tr>
      <w:tr w14:paraId="75FCAC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FDE9A3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房屋类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FFB3C0C">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框架结构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AF6CED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1240-1510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1880AE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1150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22DD86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1450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4353AA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1450-1650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1ACCF8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1600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3702F6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2200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88858C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D7D3FA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r>
      <w:tr w14:paraId="2CDDC0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0D48C10D">
            <w:pPr>
              <w:rPr>
                <w:rFonts w:hint="eastAsia" w:ascii="微软雅黑" w:hAnsi="微软雅黑" w:eastAsia="微软雅黑" w:cs="微软雅黑"/>
                <w:sz w:val="24"/>
                <w:szCs w:val="24"/>
              </w:rPr>
            </w:pPr>
          </w:p>
        </w:tc>
        <w:tc>
          <w:tcPr>
            <w:tcW w:w="0" w:type="auto"/>
            <w:tcBorders>
              <w:top w:val="outset" w:color="auto" w:sz="6" w:space="0"/>
              <w:left w:val="outset" w:color="auto" w:sz="6" w:space="0"/>
              <w:bottom w:val="outset" w:color="auto" w:sz="6" w:space="0"/>
              <w:right w:val="outset" w:color="auto" w:sz="6" w:space="0"/>
            </w:tcBorders>
            <w:shd w:val="clear"/>
            <w:vAlign w:val="center"/>
          </w:tcPr>
          <w:p w14:paraId="5FCDD4DC">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砖混结构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F31D57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980-1150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D62A10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950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C0E247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1200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6B71C2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1250-1350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9ED8CE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1300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2FCB37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1600-1800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84BE37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52067D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1200-1700 元/㎡</w:t>
            </w:r>
          </w:p>
        </w:tc>
      </w:tr>
      <w:tr w14:paraId="53E1EB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AFC6AA3">
            <w:pPr>
              <w:rPr>
                <w:rFonts w:hint="eastAsia" w:ascii="微软雅黑" w:hAnsi="微软雅黑" w:eastAsia="微软雅黑" w:cs="微软雅黑"/>
                <w:sz w:val="24"/>
                <w:szCs w:val="24"/>
              </w:rPr>
            </w:pPr>
          </w:p>
        </w:tc>
        <w:tc>
          <w:tcPr>
            <w:tcW w:w="0" w:type="auto"/>
            <w:tcBorders>
              <w:top w:val="outset" w:color="auto" w:sz="6" w:space="0"/>
              <w:left w:val="outset" w:color="auto" w:sz="6" w:space="0"/>
              <w:bottom w:val="outset" w:color="auto" w:sz="6" w:space="0"/>
              <w:right w:val="outset" w:color="auto" w:sz="6" w:space="0"/>
            </w:tcBorders>
            <w:shd w:val="clear"/>
            <w:vAlign w:val="center"/>
          </w:tcPr>
          <w:p w14:paraId="00EFDB4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简易/板房</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E89838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280-380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0033FE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330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B27F16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540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6132AF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310-390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DB0CC1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100-300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35B812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350-400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2A581AC">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2B6205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130-260 元/㎡</w:t>
            </w:r>
          </w:p>
        </w:tc>
      </w:tr>
      <w:tr w14:paraId="6D5942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30B1AD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附属物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58431C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水泥地面</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D82CF0A">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38-128 元/㎡ &lt;br&gt; </w:t>
            </w:r>
            <w:r>
              <w:rPr>
                <w:rFonts w:hint="eastAsia" w:ascii="微软雅黑" w:hAnsi="微软雅黑" w:eastAsia="微软雅黑" w:cs="微软雅黑"/>
                <w:i/>
                <w:iCs/>
              </w:rPr>
              <w:t>（厚度≤5cm至&gt;15cm）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0ECB37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55-230 元/㎡ &lt;br&gt; </w:t>
            </w:r>
            <w:r>
              <w:rPr>
                <w:rFonts w:hint="eastAsia" w:ascii="微软雅黑" w:hAnsi="微软雅黑" w:eastAsia="微软雅黑" w:cs="微软雅黑"/>
                <w:i/>
                <w:iCs/>
              </w:rPr>
              <w:t>（三合土至20cm厚钢筋混凝土）</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BCD6E92">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65-155 元/㎡ &lt;br&gt; </w:t>
            </w:r>
            <w:r>
              <w:rPr>
                <w:rFonts w:hint="eastAsia" w:ascii="微软雅黑" w:hAnsi="微软雅黑" w:eastAsia="微软雅黑" w:cs="微软雅黑"/>
                <w:i/>
                <w:iCs/>
              </w:rPr>
              <w:t>（厚度≤10cm至&gt;25cm）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BC9A1F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80-100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849BC3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80 元/㎡</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A5CB180">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80-120 元/㎡ &lt;br&gt; </w:t>
            </w:r>
            <w:r>
              <w:rPr>
                <w:rFonts w:hint="eastAsia" w:ascii="微软雅黑" w:hAnsi="微软雅黑" w:eastAsia="微软雅黑" w:cs="微软雅黑"/>
                <w:i/>
                <w:iCs/>
              </w:rPr>
              <w:t>（厚度&lt;10cm至≥10cm）</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E1DA49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D350768">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64 元/㎡</w:t>
            </w:r>
          </w:p>
        </w:tc>
      </w:tr>
      <w:tr w14:paraId="16EB3F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249AC60">
            <w:pPr>
              <w:rPr>
                <w:rFonts w:hint="eastAsia" w:ascii="微软雅黑" w:hAnsi="微软雅黑" w:eastAsia="微软雅黑" w:cs="微软雅黑"/>
                <w:sz w:val="24"/>
                <w:szCs w:val="24"/>
              </w:rPr>
            </w:pPr>
          </w:p>
        </w:tc>
        <w:tc>
          <w:tcPr>
            <w:tcW w:w="0" w:type="auto"/>
            <w:tcBorders>
              <w:top w:val="outset" w:color="auto" w:sz="6" w:space="0"/>
              <w:left w:val="outset" w:color="auto" w:sz="6" w:space="0"/>
              <w:bottom w:val="outset" w:color="auto" w:sz="6" w:space="0"/>
              <w:right w:val="outset" w:color="auto" w:sz="6" w:space="0"/>
            </w:tcBorders>
            <w:shd w:val="clear"/>
            <w:vAlign w:val="center"/>
          </w:tcPr>
          <w:p w14:paraId="78E56BA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砖砌围墙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D70002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100-170 元/㎡ &lt;br&gt; </w:t>
            </w:r>
            <w:r>
              <w:rPr>
                <w:rFonts w:hint="eastAsia" w:ascii="微软雅黑" w:hAnsi="微软雅黑" w:eastAsia="微软雅黑" w:cs="微软雅黑"/>
                <w:i/>
                <w:iCs/>
              </w:rPr>
              <w:t>（空斗墙至3/4砖墙）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4ED937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105-170 元/㎡ &lt;br&gt; </w:t>
            </w:r>
            <w:r>
              <w:rPr>
                <w:rFonts w:hint="eastAsia" w:ascii="微软雅黑" w:hAnsi="微软雅黑" w:eastAsia="微软雅黑" w:cs="微软雅黑"/>
                <w:i/>
                <w:iCs/>
              </w:rPr>
              <w:t>（1/2砖墙至一砖墙）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0ADDAF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80-140 元/㎡ &lt;br&gt; </w:t>
            </w:r>
            <w:r>
              <w:rPr>
                <w:rFonts w:hint="eastAsia" w:ascii="微软雅黑" w:hAnsi="微软雅黑" w:eastAsia="微软雅黑" w:cs="微软雅黑"/>
                <w:i/>
                <w:iCs/>
              </w:rPr>
              <w:t>（单隅砖至双隅砖）</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CCA586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125-240 元/㎡ &lt;br&gt; </w:t>
            </w:r>
            <w:r>
              <w:rPr>
                <w:rFonts w:hint="eastAsia" w:ascii="微软雅黑" w:hAnsi="微软雅黑" w:eastAsia="微软雅黑" w:cs="微软雅黑"/>
                <w:i/>
                <w:iCs/>
              </w:rPr>
              <w:t>（单砖墙至24墙）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43B986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150 元/㎡ &lt;br&gt; </w:t>
            </w:r>
            <w:r>
              <w:rPr>
                <w:rFonts w:hint="eastAsia" w:ascii="微软雅黑" w:hAnsi="微软雅黑" w:eastAsia="微软雅黑" w:cs="微软雅黑"/>
                <w:i/>
                <w:iCs/>
              </w:rPr>
              <w:t>（1/2砖墙）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8888612">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200-300 元/㎡ &lt;br&gt; </w:t>
            </w:r>
            <w:r>
              <w:rPr>
                <w:rFonts w:hint="eastAsia" w:ascii="微软雅黑" w:hAnsi="微软雅黑" w:eastAsia="微软雅黑" w:cs="微软雅黑"/>
                <w:i/>
                <w:iCs/>
              </w:rPr>
              <w:t>（1/2砖墙至一砖墙）</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EDA86D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A5AF2C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100-300 元/㎡</w:t>
            </w:r>
          </w:p>
        </w:tc>
      </w:tr>
      <w:tr w14:paraId="6B5F21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956323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养殖类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E50C4C4">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鱼类(搬迁/补偿)</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7C6B00A">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77A135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3650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52B563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8150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DD29C7E">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3800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F9ABFC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6000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63976E9">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5000-5500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D344DE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5000-10000 元/亩</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3E04145">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4800-5000 元/亩</w:t>
            </w:r>
          </w:p>
        </w:tc>
      </w:tr>
      <w:tr w14:paraId="6BCEA0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FC4628F">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坟墓类</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923AD8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b/>
                <w:bCs/>
              </w:rPr>
              <w:t>水泥/砖砌坟</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53935B7">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2600 元/穴</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8B9BAB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5000 元/座</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9A78AA1">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元/座</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70E235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2000 元/座</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E96A58D">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元/穴</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C6D5703">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2500 元/穴</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4118B0B">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3000 元/穴</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0E9B576">
            <w:pPr>
              <w:pStyle w:val="5"/>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3500 元/座</w:t>
            </w:r>
          </w:p>
        </w:tc>
      </w:tr>
      <w:bookmarkEnd w:id="0"/>
    </w:tbl>
    <w:p w14:paraId="131882ED">
      <w:pPr>
        <w:pStyle w:val="5"/>
        <w:keepNext w:val="0"/>
        <w:keepLines w:val="0"/>
        <w:widowControl/>
        <w:suppressLineNumbers w:val="0"/>
      </w:pPr>
      <w:r>
        <w:rPr>
          <w:i/>
          <w:iCs/>
        </w:rPr>
        <w:t>注：上表数据源自各市、区政府发布的官方补偿文件。揭阳市因文件未提供房屋及附属物类标准，故相关数据缺失。部分地区标准呈现为范围值，反映了不同等级或规格的补偿差异，例如阳江市鱼塘补偿标准根据养殖品种分为一般（4800元/亩）与优质（5000元/亩）两档。</w:t>
      </w:r>
    </w:p>
    <w:p w14:paraId="48FBCED9">
      <w:pPr>
        <w:pStyle w:val="5"/>
        <w:keepNext w:val="0"/>
        <w:keepLines w:val="0"/>
        <w:widowControl/>
        <w:suppressLineNumbers w:val="0"/>
      </w:pPr>
      <w:r>
        <w:t>从上表数据可见，各地区的补偿标准不仅在数值上存在显著差异，其分类的细致程度和表达方式也各不相同，反映了地方政策的复杂性与多样性。接下来，报告将对这些差异进行更深入的剖析。</w:t>
      </w:r>
    </w:p>
    <w:p w14:paraId="2268E05C">
      <w:pPr>
        <w:pStyle w:val="3"/>
        <w:keepNext w:val="0"/>
        <w:keepLines w:val="0"/>
        <w:widowControl/>
        <w:suppressLineNumbers w:val="0"/>
      </w:pPr>
      <w:r>
        <w:t>3. 与清远市清新区参考标准的差异化分析</w:t>
      </w:r>
    </w:p>
    <w:p w14:paraId="70FA5F8C">
      <w:pPr>
        <w:pStyle w:val="5"/>
        <w:keepNext w:val="0"/>
        <w:keepLines w:val="0"/>
        <w:widowControl/>
        <w:suppressLineNumbers w:val="0"/>
      </w:pPr>
      <w:r>
        <w:t>本章节的核心价值在于，以数据体系相对完备的清远市清新区为参照基准，深入剖析其他七个地区在关键补偿项目上的具体差异，并对其相对水平进行量化评估。通过这种对比，我们能够更清晰地揭示出广东省内不同区域在征地补偿政策上的倾向性与特点。</w:t>
      </w:r>
    </w:p>
    <w:p w14:paraId="1E60C0DF">
      <w:pPr>
        <w:pStyle w:val="4"/>
        <w:keepNext w:val="0"/>
        <w:keepLines w:val="0"/>
        <w:widowControl/>
        <w:suppressLineNumbers w:val="0"/>
      </w:pPr>
      <w:r>
        <w:t>3.1 青苗补偿标准差异评估</w:t>
      </w:r>
    </w:p>
    <w:p w14:paraId="6586FCBD">
      <w:pPr>
        <w:pStyle w:val="5"/>
        <w:keepNext w:val="0"/>
        <w:keepLines w:val="0"/>
        <w:widowControl/>
        <w:suppressLineNumbers w:val="0"/>
      </w:pPr>
      <w:r>
        <w:t>在青苗补偿方面，各地区标准差异巨大，尤其体现在主要农作物的价值认定上。</w:t>
      </w:r>
    </w:p>
    <w:p w14:paraId="051A41B4">
      <w:pPr>
        <w:keepNext w:val="0"/>
        <w:keepLines w:val="0"/>
        <w:widowControl/>
        <w:numPr>
          <w:ilvl w:val="0"/>
          <w:numId w:val="1"/>
        </w:numPr>
        <w:suppressLineNumbers w:val="0"/>
        <w:spacing w:before="0" w:beforeAutospacing="1" w:after="0" w:afterAutospacing="1"/>
        <w:ind w:left="720" w:hanging="360"/>
      </w:pPr>
      <w:r>
        <w:rPr>
          <w:b/>
          <w:bCs/>
        </w:rPr>
        <w:t>水稻补偿标准</w:t>
      </w:r>
      <w:r>
        <w:t>：与清新区（2400元/亩）相比，</w:t>
      </w:r>
      <w:r>
        <w:rPr>
          <w:b/>
          <w:bCs/>
        </w:rPr>
        <w:t>云浮市</w:t>
      </w:r>
      <w:r>
        <w:t>（4000元/亩）、</w:t>
      </w:r>
      <w:r>
        <w:rPr>
          <w:b/>
          <w:bCs/>
        </w:rPr>
        <w:t>揭阳市</w:t>
      </w:r>
      <w:r>
        <w:t>（4000-9000元/亩）和</w:t>
      </w:r>
      <w:r>
        <w:rPr>
          <w:b/>
          <w:bCs/>
        </w:rPr>
        <w:t>韶关市</w:t>
      </w:r>
      <w:r>
        <w:t>（3600元/亩）的标准显著偏高，其中云浮市的标准是清新区的1.67倍。相比之下，</w:t>
      </w:r>
      <w:r>
        <w:rPr>
          <w:b/>
          <w:bCs/>
        </w:rPr>
        <w:t>梅州市</w:t>
      </w:r>
      <w:r>
        <w:t>的标准（1495元/亩）则显著偏低，仅为清新区标准的约62%。《广东八地征地补偿标准对比研究》的观点也印证了这一点，指出梅州与云浮、揭阳在水稻补偿上的差距接近3倍，反映了区域间对基础粮食作物产值评估的巨大分歧。</w:t>
      </w:r>
    </w:p>
    <w:p w14:paraId="214F2947">
      <w:pPr>
        <w:keepNext w:val="0"/>
        <w:keepLines w:val="0"/>
        <w:widowControl/>
        <w:numPr>
          <w:ilvl w:val="0"/>
          <w:numId w:val="1"/>
        </w:numPr>
        <w:suppressLineNumbers w:val="0"/>
        <w:spacing w:before="0" w:beforeAutospacing="1" w:after="0" w:afterAutospacing="1"/>
        <w:ind w:left="720" w:hanging="360"/>
      </w:pPr>
      <w:r>
        <w:rPr>
          <w:b/>
          <w:bCs/>
        </w:rPr>
        <w:t>蔬菜补偿标准</w:t>
      </w:r>
      <w:r>
        <w:t>：清新区的标准为3800元/亩。在此类别中，</w:t>
      </w:r>
      <w:r>
        <w:rPr>
          <w:b/>
          <w:bCs/>
        </w:rPr>
        <w:t>肇庆市端州区</w:t>
      </w:r>
      <w:r>
        <w:t>以4900元/亩的标准位居榜首，与其作为中心城区，土地产出价值和农业投入成本较高有关。而</w:t>
      </w:r>
      <w:r>
        <w:rPr>
          <w:b/>
          <w:bCs/>
        </w:rPr>
        <w:t>河源市</w:t>
      </w:r>
      <w:r>
        <w:t>和</w:t>
      </w:r>
      <w:r>
        <w:rPr>
          <w:b/>
          <w:bCs/>
        </w:rPr>
        <w:t>梅州市</w:t>
      </w:r>
      <w:r>
        <w:t>的标准则相对较低，分别为2300元/亩和2310元/亩，均显著低于清新区的水平。</w:t>
      </w:r>
    </w:p>
    <w:p w14:paraId="486CA78B">
      <w:pPr>
        <w:pStyle w:val="4"/>
        <w:keepNext w:val="0"/>
        <w:keepLines w:val="0"/>
        <w:widowControl/>
        <w:suppressLineNumbers w:val="0"/>
      </w:pPr>
      <w:r>
        <w:t>3.2 建筑物重置价标准差异评估</w:t>
      </w:r>
    </w:p>
    <w:p w14:paraId="35438DE9">
      <w:pPr>
        <w:pStyle w:val="5"/>
        <w:keepNext w:val="0"/>
        <w:keepLines w:val="0"/>
        <w:widowControl/>
        <w:suppressLineNumbers w:val="0"/>
      </w:pPr>
      <w:r>
        <w:t>建筑物重置价直接关系到被征收人的居住保障，各地区的标准在一定程度上反映了当地的建筑成本和经济发展水平。</w:t>
      </w:r>
    </w:p>
    <w:p w14:paraId="5080A0F5">
      <w:pPr>
        <w:keepNext w:val="0"/>
        <w:keepLines w:val="0"/>
        <w:widowControl/>
        <w:numPr>
          <w:ilvl w:val="0"/>
          <w:numId w:val="2"/>
        </w:numPr>
        <w:suppressLineNumbers w:val="0"/>
        <w:spacing w:before="0" w:beforeAutospacing="1" w:after="0" w:afterAutospacing="1"/>
        <w:ind w:left="720" w:hanging="360"/>
      </w:pPr>
      <w:r>
        <w:rPr>
          <w:b/>
          <w:bCs/>
        </w:rPr>
        <w:t>框架结构房屋</w:t>
      </w:r>
      <w:r>
        <w:t>：清新区的补偿上限为1510元/㎡。**肇庆市端州区（2200元/㎡）**的标准在所有地区中遥遥领先，比标准次高的河源市（上限1650元/㎡）高出33%，更是标准最低的韶关市（1150元/㎡）的1.9倍。</w:t>
      </w:r>
    </w:p>
    <w:p w14:paraId="4912D6A5">
      <w:pPr>
        <w:keepNext w:val="0"/>
        <w:keepLines w:val="0"/>
        <w:widowControl/>
        <w:numPr>
          <w:ilvl w:val="0"/>
          <w:numId w:val="2"/>
        </w:numPr>
        <w:suppressLineNumbers w:val="0"/>
        <w:spacing w:before="0" w:beforeAutospacing="1" w:after="0" w:afterAutospacing="1"/>
        <w:ind w:left="720" w:hanging="360"/>
      </w:pPr>
      <w:r>
        <w:rPr>
          <w:b/>
          <w:bCs/>
        </w:rPr>
        <w:t>砖混结构房屋</w:t>
      </w:r>
      <w:r>
        <w:t>：清新区的标准区间为980-1150元/㎡。分析发现，大部分地区（如梅州、河源、云浮）的砖混结构补偿价格集中在</w:t>
      </w:r>
      <w:r>
        <w:rPr>
          <w:b/>
          <w:bCs/>
        </w:rPr>
        <w:t>1200-1350元/㎡</w:t>
      </w:r>
      <w:r>
        <w:t>的区间内，而阳江市和肇庆市的标准则更高。这在一定程度上反映出广东省内对于此类主流建筑结构，存在一个相对公认的基本建造成本共识，但经济发达地区或中心城区的标准明显更高。</w:t>
      </w:r>
    </w:p>
    <w:p w14:paraId="3AD41538">
      <w:pPr>
        <w:pStyle w:val="4"/>
        <w:keepNext w:val="0"/>
        <w:keepLines w:val="0"/>
        <w:widowControl/>
        <w:suppressLineNumbers w:val="0"/>
      </w:pPr>
      <w:r>
        <w:t>3.3 附属设施及特殊项目差异评估</w:t>
      </w:r>
    </w:p>
    <w:p w14:paraId="2B6800DA">
      <w:pPr>
        <w:pStyle w:val="5"/>
        <w:keepNext w:val="0"/>
        <w:keepLines w:val="0"/>
        <w:widowControl/>
        <w:suppressLineNumbers w:val="0"/>
      </w:pPr>
      <w:r>
        <w:t>在坟墓迁移和水产养殖这两类特殊项目上，各地的补偿标准差异尤为显著，反映了地方文化习俗与特色产业的价值评估差异。</w:t>
      </w:r>
    </w:p>
    <w:p w14:paraId="1CAEDD0B">
      <w:pPr>
        <w:keepNext w:val="0"/>
        <w:keepLines w:val="0"/>
        <w:widowControl/>
        <w:numPr>
          <w:ilvl w:val="0"/>
          <w:numId w:val="3"/>
        </w:numPr>
        <w:suppressLineNumbers w:val="0"/>
        <w:spacing w:before="0" w:beforeAutospacing="1" w:after="0" w:afterAutospacing="1"/>
        <w:ind w:left="720" w:hanging="360"/>
      </w:pPr>
      <w:r>
        <w:rPr>
          <w:b/>
          <w:bCs/>
        </w:rPr>
        <w:t>坟墓迁移补偿</w:t>
      </w:r>
      <w:r>
        <w:t>：针对水泥或砖砌结构的坟墓，清新区的补偿标准为2600元/穴。</w:t>
      </w:r>
      <w:r>
        <w:rPr>
          <w:b/>
          <w:bCs/>
        </w:rPr>
        <w:t>韶关市</w:t>
      </w:r>
      <w:r>
        <w:t>的标准高达5000元/座，是所有对比地区中最高的，几乎是清新区的两倍。而</w:t>
      </w:r>
      <w:r>
        <w:rPr>
          <w:b/>
          <w:bCs/>
        </w:rPr>
        <w:t>河源市</w:t>
      </w:r>
      <w:r>
        <w:t>的标准则仅为2000元/座，是所有地区中最低的。这种极端的差异反映了地方对殡葬习俗的重视程度和迁移安置成本估算的不同。</w:t>
      </w:r>
    </w:p>
    <w:p w14:paraId="442512B9">
      <w:pPr>
        <w:keepNext w:val="0"/>
        <w:keepLines w:val="0"/>
        <w:widowControl/>
        <w:numPr>
          <w:ilvl w:val="0"/>
          <w:numId w:val="3"/>
        </w:numPr>
        <w:suppressLineNumbers w:val="0"/>
        <w:spacing w:before="0" w:beforeAutospacing="1" w:after="0" w:afterAutospacing="1"/>
        <w:ind w:left="720" w:hanging="360"/>
      </w:pPr>
      <w:r>
        <w:rPr>
          <w:b/>
          <w:bCs/>
        </w:rPr>
        <w:t>鱼塘养殖补偿</w:t>
      </w:r>
      <w:r>
        <w:t>：清新区的标准为5000元/亩。在这一项上，</w:t>
      </w:r>
      <w:r>
        <w:rPr>
          <w:b/>
          <w:bCs/>
        </w:rPr>
        <w:t>梅州市</w:t>
      </w:r>
      <w:r>
        <w:t>的标准高达8150元/亩，显著高于其他地区普遍处于4000-6000元/亩的水平。这种差异与梅州市在水稻（1495元/亩）等传统作物补偿上的保守标准形成鲜明对比，表明梅州的补偿政策并非全面保守，而是具有战略针对性，反映了其政策对此类特色水产养殖产业的高度重视与价值倾斜。</w:t>
      </w:r>
    </w:p>
    <w:p w14:paraId="43C3A016">
      <w:pPr>
        <w:pStyle w:val="5"/>
        <w:keepNext w:val="0"/>
        <w:keepLines w:val="0"/>
        <w:widowControl/>
        <w:suppressLineNumbers w:val="0"/>
      </w:pPr>
      <w:r>
        <w:t>综上所述，各地区在不同补偿项目上的标准差异巨大，呈现出鲜明的区域特征。这些差异为我们理解区域政策的全貌提供了重要线索。</w:t>
      </w:r>
    </w:p>
    <w:p w14:paraId="3F41E15D">
      <w:pPr>
        <w:pStyle w:val="3"/>
        <w:keepNext w:val="0"/>
        <w:keepLines w:val="0"/>
        <w:widowControl/>
        <w:suppressLineNumbers w:val="0"/>
      </w:pPr>
      <w:r>
        <w:t>4. 总体结论与观察</w:t>
      </w:r>
    </w:p>
    <w:p w14:paraId="175FCB61">
      <w:pPr>
        <w:pStyle w:val="5"/>
        <w:keepNext w:val="0"/>
        <w:keepLines w:val="0"/>
        <w:widowControl/>
        <w:suppressLineNumbers w:val="0"/>
      </w:pPr>
      <w:r>
        <w:t>本章节旨在从宏观层面提炼本次比较分析的核心发现，总结广东省内不同区域征地补偿政策的共性与特性，为政策制定者、研究人员及相关从业者提供一个全局性的视角。</w:t>
      </w:r>
    </w:p>
    <w:p w14:paraId="5D3CAB32">
      <w:pPr>
        <w:pStyle w:val="5"/>
        <w:keepNext w:val="0"/>
        <w:keepLines w:val="0"/>
        <w:widowControl/>
        <w:suppressLineNumbers w:val="0"/>
      </w:pPr>
      <w:r>
        <w:t>基于前文的详细数据对比和差异化分析，我们归纳出以下几项关键的总体结论与观察：</w:t>
      </w:r>
    </w:p>
    <w:p w14:paraId="3D1BD3AA">
      <w:pPr>
        <w:keepNext w:val="0"/>
        <w:keepLines w:val="0"/>
        <w:widowControl/>
        <w:numPr>
          <w:ilvl w:val="0"/>
          <w:numId w:val="4"/>
        </w:numPr>
        <w:suppressLineNumbers w:val="0"/>
        <w:spacing w:before="0" w:beforeAutospacing="1" w:after="0" w:afterAutospacing="1"/>
        <w:ind w:left="720" w:hanging="360"/>
      </w:pPr>
      <w:r>
        <w:rPr>
          <w:b/>
          <w:bCs/>
        </w:rPr>
        <w:t>标准差异显著，区域分化明显</w:t>
      </w:r>
      <w:r>
        <w:t xml:space="preserve"> 各地区在不同补偿类别上的标准存在巨大差异。例如，在</w:t>
      </w:r>
      <w:r>
        <w:rPr>
          <w:b/>
          <w:bCs/>
        </w:rPr>
        <w:t>水稻补偿</w:t>
      </w:r>
      <w:r>
        <w:t>上，标准最高的揭阳市（上限9000元/亩）与最低的梅州市（1495元/亩）差距超过6倍；在</w:t>
      </w:r>
      <w:r>
        <w:rPr>
          <w:b/>
          <w:bCs/>
        </w:rPr>
        <w:t>框架结构房屋重置价</w:t>
      </w:r>
      <w:r>
        <w:t>上，肇庆端州区（2200元/㎡）的标准几乎是韶关市（1150元/㎡）的两倍。这充分说明，尽管同处广东省，但各地的经济发展水平、财政能力、农业产值以及对特定项目的价值判断存在显著不同，导致了补偿标准的巨大分化。</w:t>
      </w:r>
    </w:p>
    <w:p w14:paraId="1156EB3A">
      <w:pPr>
        <w:keepNext w:val="0"/>
        <w:keepLines w:val="0"/>
        <w:widowControl/>
        <w:numPr>
          <w:ilvl w:val="0"/>
          <w:numId w:val="4"/>
        </w:numPr>
        <w:suppressLineNumbers w:val="0"/>
        <w:spacing w:before="0" w:beforeAutospacing="1" w:after="0" w:afterAutospacing="1"/>
        <w:ind w:left="720" w:hanging="360"/>
      </w:pPr>
      <w:r>
        <w:rPr>
          <w:b/>
          <w:bCs/>
        </w:rPr>
        <w:t>政策详尽度不一，精细化管理水平不同</w:t>
      </w:r>
      <w:r>
        <w:t xml:space="preserve"> 通过对比各地区的官方文件可以发现，政策的详细与精细化程度参差不齐。</w:t>
      </w:r>
      <w:r>
        <w:rPr>
          <w:b/>
          <w:bCs/>
        </w:rPr>
        <w:t>清远市清新区、肇庆市端州区</w:t>
      </w:r>
      <w:r>
        <w:t>等地的补偿标准文件更为细化和全面，例如对建筑物的檐口高度、装修等级，以及林木的具体胸径都制定了明确的阶梯式单价，为实际操作提供了清晰指引。相比之下，</w:t>
      </w:r>
      <w:r>
        <w:rPr>
          <w:b/>
          <w:bCs/>
        </w:rPr>
        <w:t>揭阳市</w:t>
      </w:r>
      <w:r>
        <w:t>的补偿标准则相对概括，多以一个较宽的范围区间呈现，这在实际执行中给予了一定的灵活性，但也可能带来裁量标准不一的风险。</w:t>
      </w:r>
    </w:p>
    <w:p w14:paraId="7C777B11">
      <w:pPr>
        <w:keepNext w:val="0"/>
        <w:keepLines w:val="0"/>
        <w:widowControl/>
        <w:numPr>
          <w:ilvl w:val="0"/>
          <w:numId w:val="4"/>
        </w:numPr>
        <w:suppressLineNumbers w:val="0"/>
        <w:spacing w:before="0" w:beforeAutospacing="1" w:after="0" w:afterAutospacing="1"/>
        <w:ind w:left="720" w:hanging="360"/>
      </w:pPr>
      <w:r>
        <w:rPr>
          <w:b/>
          <w:bCs/>
        </w:rPr>
        <w:t>区域补偿水平梯队初步显现</w:t>
      </w:r>
      <w:r>
        <w:t xml:space="preserve"> 尽管各地区在不同项目上的标准各有高低，但从整体上看，仍可观察到一定的区域补偿水平趋势。根据现有资料分析，</w:t>
      </w:r>
      <w:r>
        <w:rPr>
          <w:b/>
          <w:bCs/>
        </w:rPr>
        <w:t>肇庆市和云浮市</w:t>
      </w:r>
      <w:r>
        <w:t>在青苗及水产养殖等农业相关补偿类别上，其标准整体处于较高水平。而</w:t>
      </w:r>
      <w:r>
        <w:rPr>
          <w:b/>
          <w:bCs/>
        </w:rPr>
        <w:t>梅州市</w:t>
      </w:r>
      <w:r>
        <w:t>在传统农业作物（如水稻）的补偿上则相对保守，但在水产养殖这类特色项目上却给出了最高标准，体现了其政策的精准性和对地方特色经济的扶持倾向。</w:t>
      </w:r>
    </w:p>
    <w:p w14:paraId="676FC69F">
      <w:pPr>
        <w:pStyle w:val="5"/>
        <w:keepNext w:val="0"/>
        <w:keepLines w:val="0"/>
        <w:widowControl/>
        <w:suppressLineNumbers w:val="0"/>
      </w:pPr>
      <w:r>
        <w:t>最后，为确保分析的客观与严谨，需再次重申《广东八地征地补偿标准对比研究》中的关键提示：若需获得与</w:t>
      </w:r>
      <w:r>
        <w:rPr>
          <w:b/>
          <w:bCs/>
        </w:rPr>
        <w:t>清远市清城区</w:t>
      </w:r>
      <w:r>
        <w:t>的精确浮动比率，则必须补充该区的官方补偿标准文件。在获得该文件之前，任何关于清城区的具体比较都缺乏直接的数据依据。</w:t>
      </w:r>
    </w:p>
    <w:p w14:paraId="3ADA81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4D949"/>
    <w:multiLevelType w:val="multilevel"/>
    <w:tmpl w:val="DFD4D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90B8E7C"/>
    <w:multiLevelType w:val="multilevel"/>
    <w:tmpl w:val="390B8E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3754EBA"/>
    <w:multiLevelType w:val="multilevel"/>
    <w:tmpl w:val="63754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06EAF7D"/>
    <w:multiLevelType w:val="multilevel"/>
    <w:tmpl w:val="706EAF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313BA5"/>
    <w:rsid w:val="0A782B1B"/>
    <w:rsid w:val="12313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1057</Words>
  <Characters>1411</Characters>
  <Lines>0</Lines>
  <Paragraphs>0</Paragraphs>
  <TotalTime>0</TotalTime>
  <ScaleCrop>false</ScaleCrop>
  <LinksUpToDate>false</LinksUpToDate>
  <CharactersWithSpaces>1422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2026-01-05T03:45:00Z</dcterms:created>
  <dc:creator>WPS_1642318354</dc:creator>
  <cp:lastModifiedBy>WPS_1642318354</cp:lastModifiedBy>
  <dcterms:modified xsi:type="dcterms:W3CDTF">2026-01-05T03:47:35Z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1C827DC2599D46A0AB4024D5C0634B1E_11</vt:lpwstr>
  </property>
  <property fmtid="{D5CDD505-2E9C-101B-9397-08002B2CF9AE}" pid="4" name="KSOTemplateDocerSaveRecord">
    <vt:lpwstr>eyJoZGlkIjoiODYyYTJlMzFlODJjZTUyYzQ5NWJmOWUzYTMxYzUxNDYiLCJ1c2VySWQiOiIxMzE2MDQ2NjY5In0=</vt:lpwstr>
  </property>
</Properties>
</file>