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建设用地报批地类认定规则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640" w:firstLineChars="0"/>
        <w:jc w:val="both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一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、地类认定规则</w:t>
      </w:r>
    </w:p>
    <w:p>
      <w:pPr>
        <w:spacing w:line="360" w:lineRule="auto"/>
        <w:ind w:firstLine="640" w:firstLineChars="200"/>
        <w:jc w:val="both"/>
        <w:rPr>
          <w:rFonts w:hint="default" w:ascii="Times New Roman" w:hAnsi="Times New Roman" w:eastAsia="仿宋"/>
          <w:sz w:val="32"/>
          <w:szCs w:val="32"/>
          <w:lang w:val="en-US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建设用地审查报批地类要以最新年度国土变更调查成果为基础，结合最新年度国土变更调查“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农用地转用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”情况和我省已批用地红线成果，合理、合法确定用地审查报批地类。</w:t>
      </w:r>
    </w:p>
    <w:p>
      <w:pPr>
        <w:spacing w:line="360" w:lineRule="auto"/>
        <w:ind w:firstLine="640" w:firstLineChars="200"/>
        <w:jc w:val="both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（一）现状为耕地的，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报批地类</w:t>
      </w:r>
      <w:r>
        <w:rPr>
          <w:rFonts w:hint="default" w:ascii="Times New Roman" w:hAnsi="Times New Roman" w:eastAsia="楷体_GB2312" w:cs="Times New Roman"/>
          <w:sz w:val="32"/>
          <w:szCs w:val="32"/>
        </w:rPr>
        <w:t>根据</w:t>
      </w: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最新年度国土变更调查的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省级已批建设用地范围确定</w:t>
      </w:r>
      <w:r>
        <w:rPr>
          <w:rFonts w:hint="default" w:ascii="Times New Roman" w:hAnsi="Times New Roman" w:eastAsia="楷体_GB2312" w:cs="Times New Roman"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属于最新年度国土变更调查“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农用地转用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图层范围内的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现状耕地，按照合法建设用地地类报批。属于最新年度国土变更调查“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农用地转用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图层范围外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的现状耕地，按照耕地地类报批，依法落实耕地占补平衡。</w:t>
      </w:r>
    </w:p>
    <w:p>
      <w:pPr>
        <w:spacing w:line="360" w:lineRule="auto"/>
        <w:ind w:firstLine="640" w:firstLineChars="200"/>
        <w:jc w:val="both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（二）现状为耕地以外的其他农用地，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报批地类</w:t>
      </w:r>
      <w:r>
        <w:rPr>
          <w:rFonts w:hint="default" w:ascii="Times New Roman" w:hAnsi="Times New Roman" w:eastAsia="楷体_GB2312" w:cs="Times New Roman"/>
          <w:sz w:val="32"/>
          <w:szCs w:val="32"/>
        </w:rPr>
        <w:t>根据国土变更调查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成果确定。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属于最新年度国土变更调查“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农用地转用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图层范围内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的其他农用地，按照合法建设用地地类报批；属于最新年度国土变更调查“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农用地转用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图层范围外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的其他农用地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、农业设施建设用地的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，如上一年度国土变更调查为耕地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且未落实耕地“进出平衡”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的，按照耕地地类报批，依法落实耕地占补平衡；如上一年度国土变更调查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为非耕地的，按照最新年度国土变更调查确定的农用地二级地类报批。</w:t>
      </w:r>
    </w:p>
    <w:p>
      <w:pPr>
        <w:spacing w:line="360" w:lineRule="auto"/>
        <w:ind w:firstLine="640" w:firstLineChars="200"/>
        <w:jc w:val="both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szCs w:val="32"/>
        </w:rPr>
        <w:t>（三）现状为建设用地，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报批地类</w:t>
      </w:r>
      <w:r>
        <w:rPr>
          <w:rFonts w:hint="default" w:ascii="Times New Roman" w:hAnsi="Times New Roman" w:eastAsia="楷体_GB2312" w:cs="Times New Roman"/>
          <w:sz w:val="32"/>
          <w:szCs w:val="32"/>
        </w:rPr>
        <w:t>根据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省级已批建设用地范围确定</w:t>
      </w:r>
      <w:r>
        <w:rPr>
          <w:rFonts w:hint="default" w:ascii="Times New Roman" w:hAnsi="Times New Roman" w:eastAsia="楷体_GB2312" w:cs="Times New Roman"/>
          <w:sz w:val="32"/>
          <w:szCs w:val="32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属于已批建设用地省级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数据库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范围内的，按照合法建设用地地类报批。属于已批建设用地省级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数据库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范围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外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的，按照无合法建设用地来源处理，依次按最新年度国土变更调查实际地类、“三调”成果实际地类、第二次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全国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土地调查成果、1999年度土地变更调查成果的顺序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逐年还原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，直至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追溯为非建设用地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为止，按照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追溯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后的农用地、未利用地报批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（农用地细化至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二级地类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，其中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追溯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后为耕地地类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（含可调整地类）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的，应依法落实耕地占补平衡。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追溯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至1999年度土地变更调查成果仍为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建设用地的，按照建设用地地类报批。</w:t>
      </w:r>
    </w:p>
    <w:p>
      <w:pPr>
        <w:spacing w:line="360" w:lineRule="auto"/>
        <w:ind w:firstLine="640" w:firstLineChars="200"/>
        <w:jc w:val="both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（四）现状为未利用地，</w:t>
      </w:r>
      <w:r>
        <w:rPr>
          <w:rFonts w:hint="default" w:ascii="Times New Roman" w:hAnsi="Times New Roman" w:eastAsia="楷体_GB2312" w:cs="Times New Roman"/>
          <w:sz w:val="32"/>
          <w:szCs w:val="32"/>
          <w:lang w:eastAsia="zh-CN"/>
        </w:rPr>
        <w:t>报批地类根据省级已批建设用地范围确定。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属于已批建设用地省级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数据库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范围内的，按照合法建设用地地类报批。属于已批建设用地省级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数据库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范围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外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的，按照未利用地地类报批。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640" w:firstLineChars="0"/>
        <w:jc w:val="both"/>
        <w:textAlignment w:val="auto"/>
        <w:outlineLvl w:val="9"/>
        <w:rPr>
          <w:rFonts w:hint="eastAsia" w:ascii="方正黑体简体" w:hAnsi="方正黑体简体" w:eastAsia="方正黑体简体" w:cs="方正黑体简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二、耕地质量数据使用要求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现阶段</w:t>
      </w:r>
      <w:r>
        <w:rPr>
          <w:rFonts w:hint="eastAsia" w:ascii="仿宋_GB2312" w:hAnsi="仿宋_GB2312" w:eastAsia="仿宋_GB2312" w:cs="仿宋_GB2312"/>
          <w:sz w:val="32"/>
          <w:szCs w:val="32"/>
        </w:rPr>
        <w:t>暂以2018年度耕地质量等别评价成果作为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分析耕地质量情况的</w:t>
      </w:r>
      <w:r>
        <w:rPr>
          <w:rFonts w:hint="eastAsia" w:ascii="仿宋_GB2312" w:hAnsi="仿宋_GB2312" w:eastAsia="仿宋_GB2312" w:cs="仿宋_GB2312"/>
          <w:sz w:val="32"/>
          <w:szCs w:val="32"/>
        </w:rPr>
        <w:t>基础数据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对于部分耕地地块未纳入耕地质量等别评价成果的，其耕地质量等别参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照报批时</w:t>
      </w:r>
      <w:r>
        <w:rPr>
          <w:rFonts w:hint="eastAsia" w:ascii="仿宋_GB2312" w:hAnsi="仿宋_GB2312" w:eastAsia="仿宋_GB2312" w:cs="仿宋_GB2312"/>
          <w:sz w:val="32"/>
          <w:szCs w:val="32"/>
        </w:rPr>
        <w:t>该县（市、区）的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耕地</w:t>
      </w:r>
      <w:r>
        <w:rPr>
          <w:rFonts w:hint="eastAsia" w:ascii="仿宋_GB2312" w:hAnsi="仿宋_GB2312" w:eastAsia="仿宋_GB2312" w:cs="仿宋_GB2312"/>
          <w:sz w:val="32"/>
          <w:szCs w:val="32"/>
        </w:rPr>
        <w:t>平均质量等别进行确定。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后续待</w:t>
      </w:r>
      <w:r>
        <w:rPr>
          <w:rFonts w:hint="eastAsia" w:ascii="仿宋_GB2312" w:hAnsi="仿宋_GB2312" w:eastAsia="仿宋_GB2312" w:cs="仿宋_GB2312"/>
          <w:sz w:val="32"/>
          <w:szCs w:val="32"/>
        </w:rPr>
        <w:t>自然资源部正式将国土“三调”耕地资源质量分类成果应用于耕地占补平衡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管理后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按照自然资源部最新要求予以落实。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85BBA"/>
    <w:rsid w:val="32585BBA"/>
    <w:rsid w:val="4B501094"/>
    <w:rsid w:val="572A2997"/>
    <w:rsid w:val="5F6C50C4"/>
    <w:rsid w:val="6E842AE7"/>
    <w:rsid w:val="72A56EF6"/>
    <w:rsid w:val="7EDE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2022-04-24T03:11:00Z</dcterms:created>
  <dc:creator>刘丽芳</dc:creator>
  <cp:lastModifiedBy>刘丽芳</cp:lastModifiedBy>
  <cp:lastPrinted>2022-04-27T06:16:45Z</cp:lastPrinted>
  <dcterms:modified xsi:type="dcterms:W3CDTF">2022-04-27T09:45:56Z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4F43638BF3204292B094333D7E4C8802</vt:lpwstr>
  </property>
</Properties>
</file>