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16F44">
      <w:pPr>
        <w:pStyle w:val="3"/>
        <w:keepNext w:val="0"/>
        <w:keepLines w:val="0"/>
        <w:widowControl/>
        <w:suppressLineNumbers w:val="0"/>
      </w:pPr>
      <w:r>
        <w:t>根据您提供的文件资料，以下是对清远市清新区、韶关、梅州、河源、云浮、肇庆、揭阳、阳江八个地区的地上附着物及青苗补偿费用的详细对比。</w:t>
      </w:r>
    </w:p>
    <w:p w14:paraId="1DA65C7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需要特别说明的是：</w:t>
      </w:r>
      <w:r>
        <w:t xml:space="preserve"> 在您提供的所有原始资料中，</w:t>
      </w:r>
      <w:r>
        <w:rPr>
          <w:rStyle w:val="6"/>
        </w:rPr>
        <w:t>并未包含“清远市清城区”的补偿标准文件</w:t>
      </w:r>
      <w:r>
        <w:t>。因此，本回复无法以清城区为基准计算具体的“浮动比率”。下表仅针对资料中存在的八个地区进行横向对比，并以</w:t>
      </w:r>
      <w:r>
        <w:rPr>
          <w:rStyle w:val="6"/>
        </w:rPr>
        <w:t>清远市清新区</w:t>
      </w:r>
      <w:r>
        <w:t>作为参考项，以便您了解各地区间的标准差异。</w:t>
      </w:r>
    </w:p>
    <w:p w14:paraId="17707D3C">
      <w:pPr>
        <w:pStyle w:val="2"/>
        <w:keepNext w:val="0"/>
        <w:keepLines w:val="0"/>
        <w:widowControl/>
        <w:suppressLineNumbers w:val="0"/>
      </w:pPr>
      <w:r>
        <w:t>广东省部分地区征地补偿标准对比</w:t>
      </w:r>
      <w:bookmarkStart w:id="0" w:name="_GoBack"/>
      <w:bookmarkEnd w:id="0"/>
      <w:r>
        <w:t>表（单位：元/亩 或 元/㎡）</w:t>
      </w:r>
    </w:p>
    <w:tbl>
      <w:tblPr>
        <w:tblW w:w="0" w:type="auto"/>
        <w:tblCellSpacing w:w="15" w:type="dxa"/>
        <w:tblInd w:w="-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0"/>
        <w:gridCol w:w="403"/>
        <w:gridCol w:w="1042"/>
        <w:gridCol w:w="1042"/>
        <w:gridCol w:w="722"/>
        <w:gridCol w:w="1042"/>
        <w:gridCol w:w="828"/>
        <w:gridCol w:w="1042"/>
        <w:gridCol w:w="1149"/>
        <w:gridCol w:w="844"/>
      </w:tblGrid>
      <w:tr w14:paraId="16D84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D2EB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补偿大类</w:t>
            </w:r>
          </w:p>
        </w:tc>
        <w:tc>
          <w:tcPr>
            <w:tcW w:w="0" w:type="auto"/>
            <w:shd w:val="clear"/>
            <w:vAlign w:val="center"/>
          </w:tcPr>
          <w:p w14:paraId="4F62183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具体项目</w:t>
            </w:r>
          </w:p>
        </w:tc>
        <w:tc>
          <w:tcPr>
            <w:tcW w:w="0" w:type="auto"/>
            <w:shd w:val="clear"/>
            <w:vAlign w:val="center"/>
          </w:tcPr>
          <w:p w14:paraId="73FEFE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清远市清新区</w:t>
            </w:r>
          </w:p>
        </w:tc>
        <w:tc>
          <w:tcPr>
            <w:tcW w:w="0" w:type="auto"/>
            <w:shd w:val="clear"/>
            <w:vAlign w:val="center"/>
          </w:tcPr>
          <w:p w14:paraId="428551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韶关 (浈江/武江)</w:t>
            </w:r>
          </w:p>
        </w:tc>
        <w:tc>
          <w:tcPr>
            <w:tcW w:w="0" w:type="auto"/>
            <w:shd w:val="clear"/>
            <w:vAlign w:val="center"/>
          </w:tcPr>
          <w:p w14:paraId="364917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梅州 (梅县)</w:t>
            </w:r>
          </w:p>
        </w:tc>
        <w:tc>
          <w:tcPr>
            <w:tcW w:w="0" w:type="auto"/>
            <w:shd w:val="clear"/>
            <w:vAlign w:val="center"/>
          </w:tcPr>
          <w:p w14:paraId="26358F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河源 (市区)</w:t>
            </w:r>
          </w:p>
        </w:tc>
        <w:tc>
          <w:tcPr>
            <w:tcW w:w="0" w:type="auto"/>
            <w:shd w:val="clear"/>
            <w:vAlign w:val="center"/>
          </w:tcPr>
          <w:p w14:paraId="59E408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云浮 (云城区)</w:t>
            </w:r>
          </w:p>
        </w:tc>
        <w:tc>
          <w:tcPr>
            <w:tcW w:w="0" w:type="auto"/>
            <w:shd w:val="clear"/>
            <w:vAlign w:val="center"/>
          </w:tcPr>
          <w:p w14:paraId="1E65C4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肇庆 (端州)</w:t>
            </w:r>
          </w:p>
        </w:tc>
        <w:tc>
          <w:tcPr>
            <w:tcW w:w="0" w:type="auto"/>
            <w:shd w:val="clear"/>
            <w:vAlign w:val="center"/>
          </w:tcPr>
          <w:p w14:paraId="0769D7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揭阳 (市区)</w:t>
            </w:r>
          </w:p>
        </w:tc>
        <w:tc>
          <w:tcPr>
            <w:tcW w:w="0" w:type="auto"/>
            <w:shd w:val="clear"/>
            <w:vAlign w:val="center"/>
          </w:tcPr>
          <w:p w14:paraId="645635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阳江 (市辖区)</w:t>
            </w:r>
          </w:p>
        </w:tc>
      </w:tr>
      <w:tr w14:paraId="6B9AA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322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青苗类</w:t>
            </w:r>
          </w:p>
        </w:tc>
        <w:tc>
          <w:tcPr>
            <w:tcW w:w="0" w:type="auto"/>
            <w:shd w:val="clear"/>
            <w:vAlign w:val="center"/>
          </w:tcPr>
          <w:p w14:paraId="72596B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水稻</w:t>
            </w:r>
          </w:p>
        </w:tc>
        <w:tc>
          <w:tcPr>
            <w:tcW w:w="0" w:type="auto"/>
            <w:shd w:val="clear"/>
            <w:vAlign w:val="center"/>
          </w:tcPr>
          <w:p w14:paraId="42B360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2400</w:t>
            </w:r>
          </w:p>
        </w:tc>
        <w:tc>
          <w:tcPr>
            <w:tcW w:w="0" w:type="auto"/>
            <w:shd w:val="clear"/>
            <w:vAlign w:val="center"/>
          </w:tcPr>
          <w:p w14:paraId="2F40BF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3600</w:t>
            </w:r>
          </w:p>
        </w:tc>
        <w:tc>
          <w:tcPr>
            <w:tcW w:w="0" w:type="auto"/>
            <w:shd w:val="clear"/>
            <w:vAlign w:val="center"/>
          </w:tcPr>
          <w:p w14:paraId="36B852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1495</w:t>
            </w:r>
          </w:p>
        </w:tc>
        <w:tc>
          <w:tcPr>
            <w:tcW w:w="0" w:type="auto"/>
            <w:shd w:val="clear"/>
            <w:vAlign w:val="center"/>
          </w:tcPr>
          <w:p w14:paraId="0344BD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2200</w:t>
            </w:r>
          </w:p>
        </w:tc>
        <w:tc>
          <w:tcPr>
            <w:tcW w:w="0" w:type="auto"/>
            <w:shd w:val="clear"/>
            <w:vAlign w:val="center"/>
          </w:tcPr>
          <w:p w14:paraId="2F9327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4000</w:t>
            </w:r>
          </w:p>
        </w:tc>
        <w:tc>
          <w:tcPr>
            <w:tcW w:w="0" w:type="auto"/>
            <w:shd w:val="clear"/>
            <w:vAlign w:val="center"/>
          </w:tcPr>
          <w:p w14:paraId="1677BE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3500</w:t>
            </w:r>
          </w:p>
        </w:tc>
        <w:tc>
          <w:tcPr>
            <w:tcW w:w="0" w:type="auto"/>
            <w:shd w:val="clear"/>
            <w:vAlign w:val="center"/>
          </w:tcPr>
          <w:p w14:paraId="51B0B4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4000-9000</w:t>
            </w:r>
          </w:p>
        </w:tc>
        <w:tc>
          <w:tcPr>
            <w:tcW w:w="0" w:type="auto"/>
            <w:shd w:val="clear"/>
            <w:vAlign w:val="center"/>
          </w:tcPr>
          <w:p w14:paraId="2370FA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2100</w:t>
            </w:r>
          </w:p>
        </w:tc>
      </w:tr>
      <w:tr w14:paraId="33953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5885F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B9E4D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蔬菜类</w:t>
            </w:r>
          </w:p>
        </w:tc>
        <w:tc>
          <w:tcPr>
            <w:tcW w:w="0" w:type="auto"/>
            <w:shd w:val="clear"/>
            <w:vAlign w:val="center"/>
          </w:tcPr>
          <w:p w14:paraId="347143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3800</w:t>
            </w:r>
          </w:p>
        </w:tc>
        <w:tc>
          <w:tcPr>
            <w:tcW w:w="0" w:type="auto"/>
            <w:shd w:val="clear"/>
            <w:vAlign w:val="center"/>
          </w:tcPr>
          <w:p w14:paraId="66755E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3500</w:t>
            </w:r>
          </w:p>
        </w:tc>
        <w:tc>
          <w:tcPr>
            <w:tcW w:w="0" w:type="auto"/>
            <w:shd w:val="clear"/>
            <w:vAlign w:val="center"/>
          </w:tcPr>
          <w:p w14:paraId="20AEF7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2310</w:t>
            </w:r>
          </w:p>
        </w:tc>
        <w:tc>
          <w:tcPr>
            <w:tcW w:w="0" w:type="auto"/>
            <w:shd w:val="clear"/>
            <w:vAlign w:val="center"/>
          </w:tcPr>
          <w:p w14:paraId="0CF095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2300</w:t>
            </w:r>
          </w:p>
        </w:tc>
        <w:tc>
          <w:tcPr>
            <w:tcW w:w="0" w:type="auto"/>
            <w:shd w:val="clear"/>
            <w:vAlign w:val="center"/>
          </w:tcPr>
          <w:p w14:paraId="58D75B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4000</w:t>
            </w:r>
          </w:p>
        </w:tc>
        <w:tc>
          <w:tcPr>
            <w:tcW w:w="0" w:type="auto"/>
            <w:shd w:val="clear"/>
            <w:vAlign w:val="center"/>
          </w:tcPr>
          <w:p w14:paraId="3F8C71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4900</w:t>
            </w:r>
          </w:p>
        </w:tc>
        <w:tc>
          <w:tcPr>
            <w:tcW w:w="0" w:type="auto"/>
            <w:shd w:val="clear"/>
            <w:vAlign w:val="center"/>
          </w:tcPr>
          <w:p w14:paraId="4DD80B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4000-9000</w:t>
            </w:r>
          </w:p>
        </w:tc>
        <w:tc>
          <w:tcPr>
            <w:tcW w:w="0" w:type="auto"/>
            <w:shd w:val="clear"/>
            <w:vAlign w:val="center"/>
          </w:tcPr>
          <w:p w14:paraId="5E1F38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3000</w:t>
            </w:r>
          </w:p>
        </w:tc>
      </w:tr>
      <w:tr w14:paraId="5F41B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B2A34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0652B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甘蔗</w:t>
            </w:r>
          </w:p>
        </w:tc>
        <w:tc>
          <w:tcPr>
            <w:tcW w:w="0" w:type="auto"/>
            <w:shd w:val="clear"/>
            <w:vAlign w:val="center"/>
          </w:tcPr>
          <w:p w14:paraId="4EBB50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3500</w:t>
            </w:r>
          </w:p>
        </w:tc>
        <w:tc>
          <w:tcPr>
            <w:tcW w:w="0" w:type="auto"/>
            <w:shd w:val="clear"/>
            <w:vAlign w:val="center"/>
          </w:tcPr>
          <w:p w14:paraId="2C3E8D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2600-3800</w:t>
            </w:r>
          </w:p>
        </w:tc>
        <w:tc>
          <w:tcPr>
            <w:tcW w:w="0" w:type="auto"/>
            <w:shd w:val="clear"/>
            <w:vAlign w:val="center"/>
          </w:tcPr>
          <w:p w14:paraId="18DDAD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2540</w:t>
            </w:r>
          </w:p>
        </w:tc>
        <w:tc>
          <w:tcPr>
            <w:tcW w:w="0" w:type="auto"/>
            <w:shd w:val="clear"/>
            <w:vAlign w:val="center"/>
          </w:tcPr>
          <w:p w14:paraId="0F27C3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3000</w:t>
            </w:r>
          </w:p>
        </w:tc>
        <w:tc>
          <w:tcPr>
            <w:tcW w:w="0" w:type="auto"/>
            <w:shd w:val="clear"/>
            <w:vAlign w:val="center"/>
          </w:tcPr>
          <w:p w14:paraId="3AE9A4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205A0E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1500-4000</w:t>
            </w:r>
          </w:p>
        </w:tc>
        <w:tc>
          <w:tcPr>
            <w:tcW w:w="0" w:type="auto"/>
            <w:shd w:val="clear"/>
            <w:vAlign w:val="center"/>
          </w:tcPr>
          <w:p w14:paraId="0B2CDB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786C6D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2100</w:t>
            </w:r>
          </w:p>
        </w:tc>
      </w:tr>
      <w:tr w14:paraId="5EC36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AF54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房屋类</w:t>
            </w:r>
          </w:p>
        </w:tc>
        <w:tc>
          <w:tcPr>
            <w:tcW w:w="0" w:type="auto"/>
            <w:shd w:val="clear"/>
            <w:vAlign w:val="center"/>
          </w:tcPr>
          <w:p w14:paraId="0F6E03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框架结构</w:t>
            </w:r>
          </w:p>
        </w:tc>
        <w:tc>
          <w:tcPr>
            <w:tcW w:w="0" w:type="auto"/>
            <w:shd w:val="clear"/>
            <w:vAlign w:val="center"/>
          </w:tcPr>
          <w:p w14:paraId="18AB6A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1240-1510</w:t>
            </w:r>
          </w:p>
        </w:tc>
        <w:tc>
          <w:tcPr>
            <w:tcW w:w="0" w:type="auto"/>
            <w:shd w:val="clear"/>
            <w:vAlign w:val="center"/>
          </w:tcPr>
          <w:p w14:paraId="14CA32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1150</w:t>
            </w:r>
          </w:p>
        </w:tc>
        <w:tc>
          <w:tcPr>
            <w:tcW w:w="0" w:type="auto"/>
            <w:shd w:val="clear"/>
            <w:vAlign w:val="center"/>
          </w:tcPr>
          <w:p w14:paraId="7F170E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1450</w:t>
            </w:r>
          </w:p>
        </w:tc>
        <w:tc>
          <w:tcPr>
            <w:tcW w:w="0" w:type="auto"/>
            <w:shd w:val="clear"/>
            <w:vAlign w:val="center"/>
          </w:tcPr>
          <w:p w14:paraId="2D3FBA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1450-1650</w:t>
            </w:r>
          </w:p>
        </w:tc>
        <w:tc>
          <w:tcPr>
            <w:tcW w:w="0" w:type="auto"/>
            <w:shd w:val="clear"/>
            <w:vAlign w:val="center"/>
          </w:tcPr>
          <w:p w14:paraId="0004D2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1600</w:t>
            </w:r>
          </w:p>
        </w:tc>
        <w:tc>
          <w:tcPr>
            <w:tcW w:w="0" w:type="auto"/>
            <w:shd w:val="clear"/>
            <w:vAlign w:val="center"/>
          </w:tcPr>
          <w:p w14:paraId="6F143B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2200</w:t>
            </w:r>
          </w:p>
        </w:tc>
        <w:tc>
          <w:tcPr>
            <w:tcW w:w="0" w:type="auto"/>
            <w:shd w:val="clear"/>
            <w:vAlign w:val="center"/>
          </w:tcPr>
          <w:p w14:paraId="20F520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07A215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1700</w:t>
            </w:r>
          </w:p>
        </w:tc>
      </w:tr>
      <w:tr w14:paraId="0C62E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6E14B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442DF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砖混结构</w:t>
            </w:r>
          </w:p>
        </w:tc>
        <w:tc>
          <w:tcPr>
            <w:tcW w:w="0" w:type="auto"/>
            <w:shd w:val="clear"/>
            <w:vAlign w:val="center"/>
          </w:tcPr>
          <w:p w14:paraId="1CA969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980-1150</w:t>
            </w:r>
          </w:p>
        </w:tc>
        <w:tc>
          <w:tcPr>
            <w:tcW w:w="0" w:type="auto"/>
            <w:shd w:val="clear"/>
            <w:vAlign w:val="center"/>
          </w:tcPr>
          <w:p w14:paraId="0D2469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950</w:t>
            </w:r>
          </w:p>
        </w:tc>
        <w:tc>
          <w:tcPr>
            <w:tcW w:w="0" w:type="auto"/>
            <w:shd w:val="clear"/>
            <w:vAlign w:val="center"/>
          </w:tcPr>
          <w:p w14:paraId="568364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1200</w:t>
            </w:r>
          </w:p>
        </w:tc>
        <w:tc>
          <w:tcPr>
            <w:tcW w:w="0" w:type="auto"/>
            <w:shd w:val="clear"/>
            <w:vAlign w:val="center"/>
          </w:tcPr>
          <w:p w14:paraId="216944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1250-1350</w:t>
            </w:r>
          </w:p>
        </w:tc>
        <w:tc>
          <w:tcPr>
            <w:tcW w:w="0" w:type="auto"/>
            <w:shd w:val="clear"/>
            <w:vAlign w:val="center"/>
          </w:tcPr>
          <w:p w14:paraId="7DA93B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1300</w:t>
            </w:r>
          </w:p>
        </w:tc>
        <w:tc>
          <w:tcPr>
            <w:tcW w:w="0" w:type="auto"/>
            <w:shd w:val="clear"/>
            <w:vAlign w:val="center"/>
          </w:tcPr>
          <w:p w14:paraId="0E8600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1600-1800</w:t>
            </w:r>
          </w:p>
        </w:tc>
        <w:tc>
          <w:tcPr>
            <w:tcW w:w="0" w:type="auto"/>
            <w:shd w:val="clear"/>
            <w:vAlign w:val="center"/>
          </w:tcPr>
          <w:p w14:paraId="448C3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1A25FC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1200</w:t>
            </w:r>
          </w:p>
        </w:tc>
      </w:tr>
      <w:tr w14:paraId="63BC2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94F60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0CA41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简易/板房</w:t>
            </w:r>
          </w:p>
        </w:tc>
        <w:tc>
          <w:tcPr>
            <w:tcW w:w="0" w:type="auto"/>
            <w:shd w:val="clear"/>
            <w:vAlign w:val="center"/>
          </w:tcPr>
          <w:p w14:paraId="2C2222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280-380</w:t>
            </w:r>
          </w:p>
        </w:tc>
        <w:tc>
          <w:tcPr>
            <w:tcW w:w="0" w:type="auto"/>
            <w:shd w:val="clear"/>
            <w:vAlign w:val="center"/>
          </w:tcPr>
          <w:p w14:paraId="7C6C43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330</w:t>
            </w:r>
          </w:p>
        </w:tc>
        <w:tc>
          <w:tcPr>
            <w:tcW w:w="0" w:type="auto"/>
            <w:shd w:val="clear"/>
            <w:vAlign w:val="center"/>
          </w:tcPr>
          <w:p w14:paraId="749613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540</w:t>
            </w:r>
          </w:p>
        </w:tc>
        <w:tc>
          <w:tcPr>
            <w:tcW w:w="0" w:type="auto"/>
            <w:shd w:val="clear"/>
            <w:vAlign w:val="center"/>
          </w:tcPr>
          <w:p w14:paraId="0C4E43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310-390</w:t>
            </w:r>
          </w:p>
        </w:tc>
        <w:tc>
          <w:tcPr>
            <w:tcW w:w="0" w:type="auto"/>
            <w:shd w:val="clear"/>
            <w:vAlign w:val="center"/>
          </w:tcPr>
          <w:p w14:paraId="2B11A2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100-300</w:t>
            </w:r>
          </w:p>
        </w:tc>
        <w:tc>
          <w:tcPr>
            <w:tcW w:w="0" w:type="auto"/>
            <w:shd w:val="clear"/>
            <w:vAlign w:val="center"/>
          </w:tcPr>
          <w:p w14:paraId="617B39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350-400</w:t>
            </w:r>
          </w:p>
        </w:tc>
        <w:tc>
          <w:tcPr>
            <w:tcW w:w="0" w:type="auto"/>
            <w:shd w:val="clear"/>
            <w:vAlign w:val="center"/>
          </w:tcPr>
          <w:p w14:paraId="760FD3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08B351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130-260</w:t>
            </w:r>
          </w:p>
        </w:tc>
      </w:tr>
      <w:tr w14:paraId="2DBE5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800B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附属物</w:t>
            </w:r>
          </w:p>
        </w:tc>
        <w:tc>
          <w:tcPr>
            <w:tcW w:w="0" w:type="auto"/>
            <w:shd w:val="clear"/>
            <w:vAlign w:val="center"/>
          </w:tcPr>
          <w:p w14:paraId="1AEC4D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水泥地面</w:t>
            </w:r>
          </w:p>
        </w:tc>
        <w:tc>
          <w:tcPr>
            <w:tcW w:w="0" w:type="auto"/>
            <w:shd w:val="clear"/>
            <w:vAlign w:val="center"/>
          </w:tcPr>
          <w:p w14:paraId="505791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38-128</w:t>
            </w:r>
          </w:p>
        </w:tc>
        <w:tc>
          <w:tcPr>
            <w:tcW w:w="0" w:type="auto"/>
            <w:shd w:val="clear"/>
            <w:vAlign w:val="center"/>
          </w:tcPr>
          <w:p w14:paraId="49DD15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55-230</w:t>
            </w:r>
          </w:p>
        </w:tc>
        <w:tc>
          <w:tcPr>
            <w:tcW w:w="0" w:type="auto"/>
            <w:shd w:val="clear"/>
            <w:vAlign w:val="center"/>
          </w:tcPr>
          <w:p w14:paraId="57135C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65-155</w:t>
            </w:r>
          </w:p>
        </w:tc>
        <w:tc>
          <w:tcPr>
            <w:tcW w:w="0" w:type="auto"/>
            <w:shd w:val="clear"/>
            <w:vAlign w:val="center"/>
          </w:tcPr>
          <w:p w14:paraId="3217E8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80-100</w:t>
            </w:r>
          </w:p>
        </w:tc>
        <w:tc>
          <w:tcPr>
            <w:tcW w:w="0" w:type="auto"/>
            <w:shd w:val="clear"/>
            <w:vAlign w:val="center"/>
          </w:tcPr>
          <w:p w14:paraId="201997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</w:t>
            </w:r>
          </w:p>
        </w:tc>
        <w:tc>
          <w:tcPr>
            <w:tcW w:w="0" w:type="auto"/>
            <w:shd w:val="clear"/>
            <w:vAlign w:val="center"/>
          </w:tcPr>
          <w:p w14:paraId="0448B5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80-120</w:t>
            </w:r>
          </w:p>
        </w:tc>
        <w:tc>
          <w:tcPr>
            <w:tcW w:w="0" w:type="auto"/>
            <w:shd w:val="clear"/>
            <w:vAlign w:val="center"/>
          </w:tcPr>
          <w:p w14:paraId="1231F6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4CCA87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</w:tr>
      <w:tr w14:paraId="27885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6BEE6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FD91C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砖砌围墙</w:t>
            </w:r>
          </w:p>
        </w:tc>
        <w:tc>
          <w:tcPr>
            <w:tcW w:w="0" w:type="auto"/>
            <w:shd w:val="clear"/>
            <w:vAlign w:val="center"/>
          </w:tcPr>
          <w:p w14:paraId="27A628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100-170</w:t>
            </w:r>
          </w:p>
        </w:tc>
        <w:tc>
          <w:tcPr>
            <w:tcW w:w="0" w:type="auto"/>
            <w:shd w:val="clear"/>
            <w:vAlign w:val="center"/>
          </w:tcPr>
          <w:p w14:paraId="7F6E77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105-170</w:t>
            </w:r>
          </w:p>
        </w:tc>
        <w:tc>
          <w:tcPr>
            <w:tcW w:w="0" w:type="auto"/>
            <w:shd w:val="clear"/>
            <w:vAlign w:val="center"/>
          </w:tcPr>
          <w:p w14:paraId="56A278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80-140</w:t>
            </w:r>
          </w:p>
        </w:tc>
        <w:tc>
          <w:tcPr>
            <w:tcW w:w="0" w:type="auto"/>
            <w:shd w:val="clear"/>
            <w:vAlign w:val="center"/>
          </w:tcPr>
          <w:p w14:paraId="69844C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125-240</w:t>
            </w:r>
          </w:p>
        </w:tc>
        <w:tc>
          <w:tcPr>
            <w:tcW w:w="0" w:type="auto"/>
            <w:shd w:val="clear"/>
            <w:vAlign w:val="center"/>
          </w:tcPr>
          <w:p w14:paraId="75AB64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/>
            <w:vAlign w:val="center"/>
          </w:tcPr>
          <w:p w14:paraId="0707BE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200-300</w:t>
            </w:r>
          </w:p>
        </w:tc>
        <w:tc>
          <w:tcPr>
            <w:tcW w:w="0" w:type="auto"/>
            <w:shd w:val="clear"/>
            <w:vAlign w:val="center"/>
          </w:tcPr>
          <w:p w14:paraId="3335EF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3DA617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100-300</w:t>
            </w:r>
          </w:p>
        </w:tc>
      </w:tr>
      <w:tr w14:paraId="0FBAC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F134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养殖类</w:t>
            </w:r>
          </w:p>
        </w:tc>
        <w:tc>
          <w:tcPr>
            <w:tcW w:w="0" w:type="auto"/>
            <w:shd w:val="clear"/>
            <w:vAlign w:val="center"/>
          </w:tcPr>
          <w:p w14:paraId="1788E8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鱼类(搬迁)</w:t>
            </w:r>
          </w:p>
        </w:tc>
        <w:tc>
          <w:tcPr>
            <w:tcW w:w="0" w:type="auto"/>
            <w:shd w:val="clear"/>
            <w:vAlign w:val="center"/>
          </w:tcPr>
          <w:p w14:paraId="534821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5000</w:t>
            </w:r>
          </w:p>
        </w:tc>
        <w:tc>
          <w:tcPr>
            <w:tcW w:w="0" w:type="auto"/>
            <w:shd w:val="clear"/>
            <w:vAlign w:val="center"/>
          </w:tcPr>
          <w:p w14:paraId="58ED6E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3650</w:t>
            </w:r>
          </w:p>
        </w:tc>
        <w:tc>
          <w:tcPr>
            <w:tcW w:w="0" w:type="auto"/>
            <w:shd w:val="clear"/>
            <w:vAlign w:val="center"/>
          </w:tcPr>
          <w:p w14:paraId="165FD9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8150</w:t>
            </w:r>
          </w:p>
        </w:tc>
        <w:tc>
          <w:tcPr>
            <w:tcW w:w="0" w:type="auto"/>
            <w:shd w:val="clear"/>
            <w:vAlign w:val="center"/>
          </w:tcPr>
          <w:p w14:paraId="19DAB4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3800</w:t>
            </w:r>
          </w:p>
        </w:tc>
        <w:tc>
          <w:tcPr>
            <w:tcW w:w="0" w:type="auto"/>
            <w:shd w:val="clear"/>
            <w:vAlign w:val="center"/>
          </w:tcPr>
          <w:p w14:paraId="3276B0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6000</w:t>
            </w:r>
          </w:p>
        </w:tc>
        <w:tc>
          <w:tcPr>
            <w:tcW w:w="0" w:type="auto"/>
            <w:shd w:val="clear"/>
            <w:vAlign w:val="center"/>
          </w:tcPr>
          <w:p w14:paraId="06780E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5000-5500</w:t>
            </w:r>
          </w:p>
        </w:tc>
        <w:tc>
          <w:tcPr>
            <w:tcW w:w="0" w:type="auto"/>
            <w:shd w:val="clear"/>
            <w:vAlign w:val="center"/>
          </w:tcPr>
          <w:p w14:paraId="5718C4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5000-10000</w:t>
            </w:r>
          </w:p>
        </w:tc>
        <w:tc>
          <w:tcPr>
            <w:tcW w:w="0" w:type="auto"/>
            <w:shd w:val="clear"/>
            <w:vAlign w:val="center"/>
          </w:tcPr>
          <w:p w14:paraId="16AFE2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4800</w:t>
            </w:r>
          </w:p>
        </w:tc>
      </w:tr>
      <w:tr w14:paraId="5C384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4795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坟墓类</w:t>
            </w:r>
          </w:p>
        </w:tc>
        <w:tc>
          <w:tcPr>
            <w:tcW w:w="0" w:type="auto"/>
            <w:shd w:val="clear"/>
            <w:vAlign w:val="center"/>
          </w:tcPr>
          <w:p w14:paraId="2D71D9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水泥/砖砌</w:t>
            </w:r>
          </w:p>
        </w:tc>
        <w:tc>
          <w:tcPr>
            <w:tcW w:w="0" w:type="auto"/>
            <w:shd w:val="clear"/>
            <w:vAlign w:val="center"/>
          </w:tcPr>
          <w:p w14:paraId="1364A8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2600</w:t>
            </w:r>
          </w:p>
        </w:tc>
        <w:tc>
          <w:tcPr>
            <w:tcW w:w="0" w:type="auto"/>
            <w:shd w:val="clear"/>
            <w:vAlign w:val="center"/>
          </w:tcPr>
          <w:p w14:paraId="3185D3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5000</w:t>
            </w:r>
          </w:p>
        </w:tc>
        <w:tc>
          <w:tcPr>
            <w:tcW w:w="0" w:type="auto"/>
            <w:shd w:val="clear"/>
            <w:vAlign w:val="center"/>
          </w:tcPr>
          <w:p w14:paraId="6135A7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3500</w:t>
            </w:r>
          </w:p>
        </w:tc>
        <w:tc>
          <w:tcPr>
            <w:tcW w:w="0" w:type="auto"/>
            <w:shd w:val="clear"/>
            <w:vAlign w:val="center"/>
          </w:tcPr>
          <w:p w14:paraId="0FF659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2000</w:t>
            </w:r>
          </w:p>
        </w:tc>
        <w:tc>
          <w:tcPr>
            <w:tcW w:w="0" w:type="auto"/>
            <w:shd w:val="clear"/>
            <w:vAlign w:val="center"/>
          </w:tcPr>
          <w:p w14:paraId="52CEFD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3500</w:t>
            </w:r>
          </w:p>
        </w:tc>
        <w:tc>
          <w:tcPr>
            <w:tcW w:w="0" w:type="auto"/>
            <w:shd w:val="clear"/>
            <w:vAlign w:val="center"/>
          </w:tcPr>
          <w:p w14:paraId="5A802F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2500</w:t>
            </w:r>
          </w:p>
        </w:tc>
        <w:tc>
          <w:tcPr>
            <w:tcW w:w="0" w:type="auto"/>
            <w:shd w:val="clear"/>
            <w:vAlign w:val="center"/>
          </w:tcPr>
          <w:p w14:paraId="303FEF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3000</w:t>
            </w:r>
          </w:p>
        </w:tc>
        <w:tc>
          <w:tcPr>
            <w:tcW w:w="0" w:type="auto"/>
            <w:shd w:val="clear"/>
            <w:vAlign w:val="center"/>
          </w:tcPr>
          <w:p w14:paraId="0CD4F8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3500</w:t>
            </w:r>
          </w:p>
        </w:tc>
      </w:tr>
    </w:tbl>
    <w:p w14:paraId="41276EEC">
      <w:pPr>
        <w:pStyle w:val="2"/>
        <w:keepNext w:val="0"/>
        <w:keepLines w:val="0"/>
        <w:widowControl/>
        <w:suppressLineNumbers w:val="0"/>
      </w:pPr>
      <w:r>
        <w:t>各地区补偿标准概况总结与趋势分析</w:t>
      </w:r>
    </w:p>
    <w:p w14:paraId="0FF33F6E">
      <w:pPr>
        <w:pStyle w:val="3"/>
        <w:keepNext w:val="0"/>
        <w:keepLines w:val="0"/>
        <w:widowControl/>
        <w:suppressLineNumbers w:val="0"/>
      </w:pPr>
      <w:r>
        <w:t>由于缺乏清城区的基准数据，通过对上述八个地区的资料分析，可以总结出以下主要规律和标准浮动趋势：</w:t>
      </w:r>
    </w:p>
    <w:p w14:paraId="40E13E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589412A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青苗标准差异显著：</w:t>
      </w:r>
    </w:p>
    <w:p w14:paraId="32A10D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F5EE68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水稻</w:t>
      </w:r>
      <w:r>
        <w:t>补偿中，</w:t>
      </w:r>
      <w:r>
        <w:rPr>
          <w:rStyle w:val="6"/>
        </w:rPr>
        <w:t>云浮和揭阳</w:t>
      </w:r>
      <w:r>
        <w:t>的标准相对较高（可达4000元/亩以上），而</w:t>
      </w:r>
      <w:r>
        <w:rPr>
          <w:rStyle w:val="6"/>
        </w:rPr>
        <w:t>梅州</w:t>
      </w:r>
      <w:r>
        <w:t>的标准最低（1495元/亩），两地差距近3倍。</w:t>
      </w:r>
    </w:p>
    <w:p w14:paraId="25A4651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6"/>
        </w:rPr>
        <w:t>蔬菜</w:t>
      </w:r>
      <w:r>
        <w:t>补偿以</w:t>
      </w:r>
      <w:r>
        <w:rPr>
          <w:rStyle w:val="6"/>
        </w:rPr>
        <w:t>肇庆端州</w:t>
      </w:r>
      <w:r>
        <w:t>为最高（4900元/亩），这可能与其作为中心城区的土地产出价值较高有关。</w:t>
      </w:r>
    </w:p>
    <w:p w14:paraId="6FB4A9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25CA017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建筑物重置价不一：</w:t>
      </w:r>
    </w:p>
    <w:p w14:paraId="250042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6B9B38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框架结构房屋</w:t>
      </w:r>
      <w:r>
        <w:t>的重置补偿中，</w:t>
      </w:r>
      <w:r>
        <w:rPr>
          <w:rStyle w:val="6"/>
        </w:rPr>
        <w:t>肇庆端州</w:t>
      </w:r>
      <w:r>
        <w:t>（2200元/㎡）和</w:t>
      </w:r>
      <w:r>
        <w:rPr>
          <w:rStyle w:val="6"/>
        </w:rPr>
        <w:t>阳江</w:t>
      </w:r>
      <w:r>
        <w:t>（1700元/㎡起）的标准处于高位；</w:t>
      </w:r>
      <w:r>
        <w:rPr>
          <w:rStyle w:val="6"/>
        </w:rPr>
        <w:t>韶关</w:t>
      </w:r>
      <w:r>
        <w:t>（1150元/㎡）和</w:t>
      </w:r>
      <w:r>
        <w:rPr>
          <w:rStyle w:val="6"/>
        </w:rPr>
        <w:t>清远清新区</w:t>
      </w:r>
      <w:r>
        <w:t>（1510元/㎡以下）的标准相对较低。</w:t>
      </w:r>
    </w:p>
    <w:p w14:paraId="1C996F39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大部分地区的</w:t>
      </w:r>
      <w:r>
        <w:rPr>
          <w:rStyle w:val="6"/>
        </w:rPr>
        <w:t>砖混结构</w:t>
      </w:r>
      <w:r>
        <w:t>补偿在1100-1300元/㎡之间波动，体现了广东省内基本的建造成本水平。</w:t>
      </w:r>
    </w:p>
    <w:p w14:paraId="10F6C6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37F5152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附属物与特种补偿：</w:t>
      </w:r>
    </w:p>
    <w:p w14:paraId="0F62FC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DD765F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坟墓迁移</w:t>
      </w:r>
      <w:r>
        <w:t>费用中，</w:t>
      </w:r>
      <w:r>
        <w:rPr>
          <w:rStyle w:val="6"/>
        </w:rPr>
        <w:t>韶关</w:t>
      </w:r>
      <w:r>
        <w:t>给出的5000元/座是所有地区中最高的，而</w:t>
      </w:r>
      <w:r>
        <w:rPr>
          <w:rStyle w:val="6"/>
        </w:rPr>
        <w:t>河源</w:t>
      </w:r>
      <w:r>
        <w:t>的标准仅为2000元/座。</w:t>
      </w:r>
    </w:p>
    <w:p w14:paraId="2F3534F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鱼塘养殖</w:t>
      </w:r>
      <w:r>
        <w:t>补偿方面，</w:t>
      </w:r>
      <w:r>
        <w:rPr>
          <w:rStyle w:val="6"/>
        </w:rPr>
        <w:t>梅州</w:t>
      </w:r>
      <w:r>
        <w:t>的8150元/亩显著高于其他地区平均4000-5000元/亩的水平，说明该地区对水产搬迁损失的评估更为细致或涵盖范围更广。</w:t>
      </w:r>
    </w:p>
    <w:p w14:paraId="69D2A2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425BC5D">
      <w:pPr>
        <w:pStyle w:val="3"/>
        <w:keepNext w:val="0"/>
        <w:keepLines w:val="0"/>
        <w:widowControl/>
        <w:suppressLineNumbers w:val="0"/>
        <w:ind w:left="720"/>
      </w:pPr>
      <w:r>
        <w:rPr>
          <w:rStyle w:val="6"/>
        </w:rPr>
        <w:t>标准详尽程度对比：</w:t>
      </w:r>
    </w:p>
    <w:p w14:paraId="7C1B1F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DF7506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清远清新区、肇庆端州和韶关</w:t>
      </w:r>
      <w:r>
        <w:t>的资料最为详尽，对建筑物的檐口高度、装修档次以及林木的具体胸径都有明确的阶梯式单价。</w:t>
      </w:r>
    </w:p>
    <w:p w14:paraId="1E5516D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揭阳</w:t>
      </w:r>
      <w:r>
        <w:t>的资料相对简略，多以范围区间呈现标准。</w:t>
      </w:r>
    </w:p>
    <w:p w14:paraId="0452231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总结建议：</w:t>
      </w:r>
      <w:r>
        <w:t xml:space="preserve"> 若您需要获得清城区的准确浮动比率，建议您补充《清远市清城区征地青苗及地上附着物补偿规定》的相关资料。从现有资料看，</w:t>
      </w:r>
      <w:r>
        <w:rPr>
          <w:rStyle w:val="6"/>
        </w:rPr>
        <w:t>肇庆和云浮</w:t>
      </w:r>
      <w:r>
        <w:t>在青苗及水产类标准上整体略高于清远地区，而</w:t>
      </w:r>
      <w:r>
        <w:rPr>
          <w:rStyle w:val="6"/>
        </w:rPr>
        <w:t>梅州</w:t>
      </w:r>
      <w:r>
        <w:t>在传统农业作物补偿上相对保守。</w:t>
      </w:r>
    </w:p>
    <w:p w14:paraId="31C23122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注：以上数据来源于提供的各市、区政府及其自然资源部门发布的征地补偿政策文件，部分标准为征求意见稿或特定区域（如市辖区）执行标准。</w:t>
      </w:r>
    </w:p>
    <w:p w14:paraId="3ADA81B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DD077D"/>
    <w:multiLevelType w:val="multilevel"/>
    <w:tmpl w:val="55DD07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313BA5"/>
    <w:rsid w:val="12313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2026-01-05T03:45:00Z</dcterms:created>
  <dc:creator>WPS_1642318354</dc:creator>
  <cp:lastModifiedBy>WPS_1642318354</cp:lastModifiedBy>
  <dcterms:modified xsi:type="dcterms:W3CDTF">2026-01-05T03:45:50Z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1C827DC2599D46A0AB4024D5C0634B1E_11</vt:lpwstr>
  </property>
  <property fmtid="{D5CDD505-2E9C-101B-9397-08002B2CF9AE}" pid="4" name="KSOTemplateDocerSaveRecord">
    <vt:lpwstr>eyJoZGlkIjoiODYyYTJlMzFlODJjZTUyYzQ5NWJmOWUzYTMxYzUxNDYiLCJ1c2VySWQiOiIxMzE2MDQ2NjY5In0=</vt:lpwstr>
  </property>
</Properties>
</file>