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E221E15" w:rsidR="004A3C5F" w:rsidRPr="007313CC" w:rsidRDefault="00A95A7F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B93791" w:rsidRPr="007313CC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3EDBE524" w14:textId="77777777" w:rsidR="00B93791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ความสามารถของระบบงาน</w:t>
      </w:r>
    </w:p>
    <w:p w14:paraId="6F29B992" w14:textId="65F338EE" w:rsidR="008F5ACB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เพื่อรองรับการให้บริการผู้ประกอบการ</w:t>
      </w:r>
    </w:p>
    <w:p w14:paraId="2931ADA2" w14:textId="77777777" w:rsidR="008915D6" w:rsidRPr="007313CC" w:rsidRDefault="008915D6" w:rsidP="007313CC">
      <w:pPr>
        <w:shd w:val="clear" w:color="auto" w:fill="FFFFFF"/>
        <w:spacing w:line="228" w:lineRule="auto"/>
        <w:ind w:firstLine="567"/>
        <w:jc w:val="thaiDistribute"/>
        <w:outlineLvl w:val="1"/>
        <w:rPr>
          <w:color w:val="000000"/>
          <w:cs/>
        </w:rPr>
      </w:pPr>
    </w:p>
    <w:p w14:paraId="50239022" w14:textId="2320C828" w:rsidR="00B31868" w:rsidRDefault="00A56DBA" w:rsidP="00F122E0">
      <w:pPr>
        <w:ind w:firstLine="720"/>
        <w:jc w:val="thaiDistribute"/>
      </w:pPr>
      <w:r>
        <w:rPr>
          <w:rFonts w:hint="cs"/>
          <w:cs/>
        </w:rPr>
        <w:t>รูปแบบ</w:t>
      </w:r>
      <w:r w:rsidR="00AB5F5A" w:rsidRPr="007313CC">
        <w:rPr>
          <w:cs/>
        </w:rPr>
        <w:t>การให้บริการที่ควรเป็น (</w:t>
      </w:r>
      <w:r w:rsidR="00AB5F5A" w:rsidRPr="007313CC">
        <w:t xml:space="preserve">Service Operation Model) </w:t>
      </w:r>
      <w:r w:rsidR="00AB5F5A" w:rsidRPr="007313CC">
        <w:rPr>
          <w:cs/>
        </w:rPr>
        <w:t>ของระบบอำนวยความสะดวกในการประกอบธุรกิจแบบครบวงจร ประกอบด้วย 2 แนวทาง คือ การบริการผ่านทางเว็บเบราว์เซอร์และการบริการผ่านทางเว็บเซอร์วิส</w:t>
      </w:r>
      <w:r w:rsidR="00F122E0">
        <w:rPr>
          <w:rFonts w:hint="cs"/>
          <w:cs/>
        </w:rPr>
        <w:t xml:space="preserve"> </w:t>
      </w:r>
      <w:r w:rsidR="008A622D" w:rsidRPr="007313CC">
        <w:rPr>
          <w:cs/>
        </w:rPr>
        <w:t xml:space="preserve">บทที่ </w:t>
      </w:r>
      <w:r w:rsidR="008A622D" w:rsidRPr="007313CC">
        <w:t xml:space="preserve">4 </w:t>
      </w:r>
      <w:r w:rsidR="008A622D" w:rsidRPr="007313CC">
        <w:rPr>
          <w:cs/>
        </w:rPr>
        <w:t>จะอธิบายรายละเอียด</w:t>
      </w:r>
      <w:r w:rsidR="00451797" w:rsidRPr="007313CC">
        <w:rPr>
          <w:cs/>
        </w:rPr>
        <w:t xml:space="preserve">ความสามารถของระบบงานเพื่อรองรับการให้บริการผู้ประกอบการ </w:t>
      </w:r>
    </w:p>
    <w:p w14:paraId="4D368B4B" w14:textId="77777777" w:rsidR="00F122E0" w:rsidRPr="00F122E0" w:rsidRDefault="00F122E0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</w:p>
    <w:p w14:paraId="50BAA600" w14:textId="759F27CE" w:rsidR="00F122E0" w:rsidRPr="00F122E0" w:rsidRDefault="00F122E0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การให้บริการโดยหน่วยงานโดยรับส่งข้อมูลระหว่างหน่วยงาน</w:t>
      </w:r>
    </w:p>
    <w:p w14:paraId="237F2272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5F593E16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DAFC78D" w14:textId="1D8983BF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3F8FF627" wp14:editId="64E49DFF">
            <wp:extent cx="5502910" cy="2506980"/>
            <wp:effectExtent l="0" t="0" r="2540" b="762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F51B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5B876C33" w14:textId="3FC26F90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สถาปัตยกรรมของระบบดิจิทัลประชาชนเข้าใช้บริการผ่านคอมพิวเตอร์หรือสมาร์ทโฟน</w:t>
      </w:r>
    </w:p>
    <w:p w14:paraId="754EC3A8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9B4E9C8" w14:textId="0E5133FA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lang w:eastAsia="ja-JP"/>
        </w:rPr>
        <w:t>4-1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  <w:r w:rsidRPr="00391B01">
        <w:rPr>
          <w:rFonts w:ascii="TH SarabunPSK" w:hAnsi="TH SarabunPSK" w:cs="TH SarabunPSK"/>
          <w:lang w:eastAsia="ja-JP"/>
        </w:rPr>
        <w:t>(</w:t>
      </w:r>
      <w:proofErr w:type="spellStart"/>
      <w:r w:rsidRPr="00391B01">
        <w:rPr>
          <w:rFonts w:ascii="TH SarabunPSK" w:hAnsi="TH SarabunPSK" w:cs="TH SarabunPSK"/>
          <w:lang w:eastAsia="ja-JP"/>
        </w:rPr>
        <w:t>DoBiz.Std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) </w:t>
      </w:r>
    </w:p>
    <w:p w14:paraId="5C799145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lastRenderedPageBreak/>
        <w:t xml:space="preserve">มีกลไกการกำกับดูแลให้เกิดการเชื่อมโยงได้จริง </w:t>
      </w:r>
      <w:r w:rsidRPr="00391B01">
        <w:rPr>
          <w:rFonts w:ascii="TH SarabunPSK" w:hAnsi="TH SarabunPSK" w:cs="TH SarabunPSK"/>
          <w:lang w:eastAsia="ja-JP"/>
        </w:rPr>
        <w:t xml:space="preserve">(Interoperability Government)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 </w:t>
      </w:r>
    </w:p>
    <w:p w14:paraId="3EC6E852" w14:textId="77777777" w:rsidR="00F122E0" w:rsidRPr="00391B01" w:rsidRDefault="00F122E0" w:rsidP="00F122E0">
      <w:pPr>
        <w:rPr>
          <w:rFonts w:ascii="TH SarabunPSK" w:hAnsi="TH SarabunPSK" w:cs="TH SarabunPSK"/>
          <w:lang w:eastAsia="ja-JP"/>
        </w:rPr>
      </w:pPr>
    </w:p>
    <w:p w14:paraId="6A208ED4" w14:textId="79D30F4B" w:rsidR="00F122E0" w:rsidRPr="00F122E0" w:rsidRDefault="006972C2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</w:t>
      </w:r>
      <w:r w:rsidR="00F122E0"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ระบบตรวจสอบยืนยันตัวตนร่วมกัน หน่วยงานไม่มีระบบยืนยันตัวตนของตนเอง</w:t>
      </w:r>
    </w:p>
    <w:p w14:paraId="321DC7A2" w14:textId="77777777" w:rsidR="006972C2" w:rsidRDefault="006972C2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E145D50" w14:textId="041F10EC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  <w:r w:rsidRPr="00391B01">
        <w:rPr>
          <w:rFonts w:ascii="TH SarabunPSK" w:hAnsi="TH SarabunPSK" w:cs="TH SarabunPSK"/>
          <w:cs/>
          <w:lang w:eastAsia="ja-JP"/>
        </w:rPr>
        <w:t xml:space="preserve"> โดยสามารถแสดงสถาปัตยกรรมของระบบดังภาพที่ </w:t>
      </w:r>
      <w:r w:rsidR="006972C2">
        <w:rPr>
          <w:rFonts w:ascii="TH SarabunPSK" w:hAnsi="TH SarabunPSK" w:cs="TH SarabunPSK"/>
          <w:lang w:eastAsia="ja-JP"/>
        </w:rPr>
        <w:t>4-2</w:t>
      </w:r>
    </w:p>
    <w:p w14:paraId="6E4CC164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A418EF" w14:textId="5DE5CC2A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53D642E5" wp14:editId="40CE26E5">
            <wp:extent cx="5502910" cy="318706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C0E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5F5D4930" w14:textId="433B30A4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6972C2">
        <w:rPr>
          <w:rFonts w:ascii="TH SarabunPSK" w:hAnsi="TH SarabunPSK" w:cs="TH SarabunPSK"/>
          <w:b/>
          <w:bCs/>
          <w:lang w:eastAsia="ja-JP"/>
        </w:rPr>
        <w:t>2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หน่วยงานใช้ระบบตรวจสอบยืนยันตัวตนร่วมกัน</w:t>
      </w:r>
    </w:p>
    <w:p w14:paraId="18CD9167" w14:textId="77777777" w:rsidR="00F122E0" w:rsidRPr="00391B01" w:rsidRDefault="00F122E0" w:rsidP="00F122E0">
      <w:pPr>
        <w:ind w:firstLine="720"/>
        <w:rPr>
          <w:rFonts w:ascii="TH SarabunPSK" w:hAnsi="TH SarabunPSK" w:cs="TH SarabunPSK"/>
          <w:lang w:eastAsia="ja-JP"/>
        </w:rPr>
      </w:pPr>
    </w:p>
    <w:p w14:paraId="214FE387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รูปแบบนี้ระบบดิจิทัลหน่วยงานไม่จำเป็นต้องมีระบบยืนยันตัวตนของตนเอง สามารถใช้ระบบตรวจสอบยืนยันตัวตนกลาง ทำให้ประชาชนไม่จำเป็นต้องพิสูจน์ตัวตนกับหน่วยงานหลายแห่ง ลดภาระการใช้บริการของประชาชน ภาพนี้แสดงสถาปัตยกรรมของระบบดิจิทัล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สามารถรับส่งเอกสารระหว่างกันได้โดยใช้มาตรฐานกลางที่กำหนดขึ้น (</w:t>
      </w:r>
      <w:proofErr w:type="spellStart"/>
      <w:r w:rsidRPr="00391B01">
        <w:rPr>
          <w:rFonts w:ascii="TH SarabunPSK" w:hAnsi="TH SarabunPSK" w:cs="TH SarabunPSK"/>
          <w:lang w:eastAsia="ja-JP"/>
        </w:rPr>
        <w:t>DoBiz.Std</w:t>
      </w:r>
      <w:proofErr w:type="spellEnd"/>
      <w:r w:rsidRPr="00391B01">
        <w:rPr>
          <w:rFonts w:ascii="TH SarabunPSK" w:hAnsi="TH SarabunPSK" w:cs="TH SarabunPSK"/>
          <w:lang w:eastAsia="ja-JP"/>
        </w:rPr>
        <w:t>)</w:t>
      </w:r>
    </w:p>
    <w:p w14:paraId="5AE63807" w14:textId="7F34661E" w:rsidR="00F122E0" w:rsidRDefault="00F122E0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lastRenderedPageBreak/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</w:t>
      </w:r>
      <w:r w:rsidR="006972C2">
        <w:rPr>
          <w:rFonts w:ascii="TH SarabunPSK" w:hAnsi="TH SarabunPSK" w:cs="TH SarabunPSK" w:hint="cs"/>
          <w:cs/>
          <w:lang w:eastAsia="ja-JP"/>
        </w:rPr>
        <w:t>ัน</w:t>
      </w:r>
    </w:p>
    <w:p w14:paraId="183E8456" w14:textId="77777777" w:rsidR="006972C2" w:rsidRPr="00391B01" w:rsidRDefault="006972C2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4D004832" w14:textId="42DE1786" w:rsidR="00F122E0" w:rsidRPr="0020264B" w:rsidRDefault="0020264B" w:rsidP="0020264B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การให้บริการด้วย</w:t>
      </w:r>
      <w:r w:rsidR="00F122E0"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ระบบรับชำระค่าธรรมเนียมร่วมกัน หน่วยงานไม่ต้องมีระบบรับชำระของตน</w:t>
      </w:r>
    </w:p>
    <w:p w14:paraId="1EDE9656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  <w:r w:rsidRPr="00391B01">
        <w:rPr>
          <w:rFonts w:ascii="TH SarabunPSK" w:hAnsi="TH SarabunPSK" w:cs="TH SarabunPSK"/>
          <w:cs/>
          <w:lang w:eastAsia="ja-JP"/>
        </w:rPr>
        <w:t xml:space="preserve"> มีการใช้ระบบรับชำระค่าธรรมกลาง</w:t>
      </w:r>
    </w:p>
    <w:p w14:paraId="5C3A117F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3ABE0E14" w14:textId="6190C44D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09C7B0B1" wp14:editId="7D3BABB1">
            <wp:extent cx="5502910" cy="318706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A81C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282EE00C" w14:textId="35472315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b/>
          <w:bCs/>
          <w:lang w:eastAsia="ja-JP"/>
        </w:rPr>
        <w:t>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492E7A" w:rsidRPr="00492E7A">
        <w:rPr>
          <w:rFonts w:ascii="TH SarabunPSK" w:hAnsi="TH SarabunPSK" w:cs="TH SarabunPSK"/>
          <w:cs/>
          <w:lang w:eastAsia="ja-JP"/>
        </w:rPr>
        <w:t>การรับชำระค่าธรรมเนียม</w:t>
      </w:r>
      <w:r w:rsidR="00492E7A">
        <w:rPr>
          <w:rFonts w:ascii="TH SarabunPSK" w:hAnsi="TH SarabunPSK" w:cs="TH SarabunPSK" w:hint="cs"/>
          <w:cs/>
          <w:lang w:eastAsia="ja-JP"/>
        </w:rPr>
        <w:t>ผ่านทาง</w:t>
      </w:r>
      <w:r w:rsidR="00492E7A" w:rsidRPr="00492E7A">
        <w:rPr>
          <w:rFonts w:ascii="TH SarabunPSK" w:hAnsi="TH SarabunPSK" w:cs="TH SarabunPSK"/>
          <w:cs/>
          <w:lang w:eastAsia="ja-JP"/>
        </w:rPr>
        <w:t>ระบบ</w:t>
      </w:r>
      <w:r w:rsidR="00492E7A">
        <w:rPr>
          <w:rFonts w:ascii="TH SarabunPSK" w:hAnsi="TH SarabunPSK" w:cs="TH SarabunPSK" w:hint="cs"/>
          <w:cs/>
          <w:lang w:eastAsia="ja-JP"/>
        </w:rPr>
        <w:t>รับชำระ</w:t>
      </w:r>
      <w:r w:rsidR="00492E7A" w:rsidRPr="00492E7A">
        <w:rPr>
          <w:rFonts w:ascii="TH SarabunPSK" w:hAnsi="TH SarabunPSK" w:cs="TH SarabunPSK"/>
          <w:cs/>
          <w:lang w:eastAsia="ja-JP"/>
        </w:rPr>
        <w:t>กลาง</w:t>
      </w:r>
    </w:p>
    <w:p w14:paraId="2955EA7A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011140C" w14:textId="4CBB4434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lang w:eastAsia="ja-JP"/>
        </w:rPr>
        <w:t>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สามารถรับส่งเอกสารระหว่างกันได้โดยใช้มาตรฐานกลางที่กำหนดขึ้น (</w:t>
      </w:r>
      <w:proofErr w:type="spellStart"/>
      <w:r w:rsidRPr="00391B01">
        <w:rPr>
          <w:rFonts w:ascii="TH SarabunPSK" w:hAnsi="TH SarabunPSK" w:cs="TH SarabunPSK"/>
          <w:lang w:eastAsia="ja-JP"/>
        </w:rPr>
        <w:t>DoBiz.Std</w:t>
      </w:r>
      <w:proofErr w:type="spellEnd"/>
      <w:r w:rsidRPr="00391B01">
        <w:rPr>
          <w:rFonts w:ascii="TH SarabunPSK" w:hAnsi="TH SarabunPSK" w:cs="TH SarabunPSK"/>
          <w:lang w:eastAsia="ja-JP"/>
        </w:rPr>
        <w:t>)</w:t>
      </w:r>
      <w:r w:rsidRPr="00391B01">
        <w:rPr>
          <w:rFonts w:ascii="TH SarabunPSK" w:hAnsi="TH SarabunPSK" w:cs="TH SarabunPSK"/>
          <w:cs/>
          <w:lang w:eastAsia="ja-JP"/>
        </w:rPr>
        <w:t xml:space="preserve"> เมื่อถึงขั้นตอนการรับชำระค่าธรรมเนียม มีการใช้ระบบกลาง ทำให้หน่วยงานไม่จำเป็นต้</w:t>
      </w:r>
      <w:r w:rsidR="003D72AD"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>งมีระบบรับชำระของตนเอง เป็นการประหยัดงบประมาณการพัฒนา ลดภาระในการเรียนรู้ระบบชำระที่หลากหลาย และมีระบบรับชำระที่มีมาตรฐานสูง</w:t>
      </w:r>
    </w:p>
    <w:p w14:paraId="0A3B0660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12C45A14" w14:textId="5D31FA96" w:rsidR="00F122E0" w:rsidRPr="0020264B" w:rsidRDefault="00F122E0" w:rsidP="0020264B">
      <w:pPr>
        <w:spacing w:line="259" w:lineRule="auto"/>
        <w:rPr>
          <w:rFonts w:ascii="TH SarabunPSK" w:hAnsi="TH SarabunPSK" w:cs="TH SarabunPSK"/>
          <w:b/>
          <w:bCs/>
          <w:u w:val="single"/>
          <w:cs/>
          <w:lang w:eastAsia="ja-JP"/>
        </w:rPr>
      </w:pPr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lastRenderedPageBreak/>
        <w:t xml:space="preserve">ผู้ประกอบการมีซอฟต์แวร์ที่เชื่อมโยงกับหน่วยงานและใช้บริการได้อัตโนมัติ </w:t>
      </w:r>
    </w:p>
    <w:p w14:paraId="4E33512B" w14:textId="77777777" w:rsidR="0020264B" w:rsidRDefault="0020264B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C07F0B" w14:textId="61672CEC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รูปแบบนี้เหมาะสำหรับผู้ประกอบที่มีซอฟต์แวร์ของตนเองและจำเป็นต้องใช้บริการรัฐ ปริมาณมาก ต้</w:t>
      </w:r>
      <w:r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 xml:space="preserve">งการเพิ่มประสิทธิภาพในการใช้บริการภาครัฐ กรณีนี้ก็เช่นกันหน่วยงานมีระบบดิจิทัลให้บริการของตนเอง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20D6914E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62911BAD" w14:textId="17811126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drawing>
          <wp:inline distT="0" distB="0" distL="0" distR="0" wp14:anchorId="4D7B9248" wp14:editId="402A7905">
            <wp:extent cx="5502910" cy="318706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1D1F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73DF9A7B" w14:textId="7F750B54" w:rsidR="00F122E0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b/>
          <w:bCs/>
          <w:lang w:eastAsia="ja-JP"/>
        </w:rPr>
        <w:t>4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ผู้ประกอบธุรกิจสามารถเชื่อมโยงเข้าใช้บริการกับระบบดิจิทัลของหน่วยงาน</w:t>
      </w:r>
    </w:p>
    <w:p w14:paraId="3A7B6014" w14:textId="77777777" w:rsidR="00492E7A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</w:p>
    <w:p w14:paraId="64364A55" w14:textId="23D163B6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lang w:eastAsia="ja-JP"/>
        </w:rPr>
        <w:t>4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ซอฟต์แวร์ของผู้ประกอบธุรกิจสามารถเชื่อมโยงเข้าใช้บริการกับระบบดิจิทัลของหน่วยงาน โดยการเชื่อมโยงจะเป็นระบบ </w:t>
      </w:r>
      <w:r w:rsidRPr="00391B01">
        <w:rPr>
          <w:rFonts w:ascii="TH SarabunPSK" w:hAnsi="TH SarabunPSK" w:cs="TH SarabunPSK"/>
          <w:lang w:eastAsia="ja-JP"/>
        </w:rPr>
        <w:t xml:space="preserve">API Service </w:t>
      </w:r>
      <w:r w:rsidRPr="00391B01">
        <w:rPr>
          <w:rFonts w:ascii="TH SarabunPSK" w:hAnsi="TH SarabunPSK" w:cs="TH SarabunPSK"/>
          <w:cs/>
          <w:lang w:eastAsia="ja-JP"/>
        </w:rPr>
        <w:t xml:space="preserve">ที่ถูกกำหนดมาตรฐานไว้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สามารถรับส่งเอกสารระหว่างกันได้โดยใช้มาตรฐานกลางที่กำหนดขึ้น (</w:t>
      </w:r>
      <w:proofErr w:type="spellStart"/>
      <w:r w:rsidRPr="00391B01">
        <w:rPr>
          <w:rFonts w:ascii="TH SarabunPSK" w:hAnsi="TH SarabunPSK" w:cs="TH SarabunPSK"/>
          <w:lang w:eastAsia="ja-JP"/>
        </w:rPr>
        <w:t>DoBiz.Std</w:t>
      </w:r>
      <w:proofErr w:type="spellEnd"/>
      <w:r w:rsidRPr="00391B01">
        <w:rPr>
          <w:rFonts w:ascii="TH SarabunPSK" w:hAnsi="TH SarabunPSK" w:cs="TH SarabunPSK"/>
          <w:lang w:eastAsia="ja-JP"/>
        </w:rPr>
        <w:t>)</w:t>
      </w:r>
    </w:p>
    <w:p w14:paraId="11CE7D37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เหมือนกับการให้บริการรูปแบบอื่น คือมีกลไกการกำกับดูแลให้เกิดการเชื่อมโยงได้จริง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00691964" w14:textId="77777777" w:rsidR="00F122E0" w:rsidRPr="007313CC" w:rsidRDefault="00F122E0" w:rsidP="00F122E0">
      <w:pPr>
        <w:jc w:val="thaiDistribute"/>
        <w:rPr>
          <w:cs/>
        </w:rPr>
      </w:pPr>
    </w:p>
    <w:sectPr w:rsidR="00F122E0" w:rsidRPr="007313CC" w:rsidSect="00F122E0">
      <w:footerReference w:type="default" r:id="rId12"/>
      <w:pgSz w:w="11906" w:h="16838" w:code="9"/>
      <w:pgMar w:top="1440" w:right="1800" w:bottom="216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F6DA" w14:textId="77777777" w:rsidR="00C330C8" w:rsidRDefault="00C330C8" w:rsidP="00B72412">
      <w:r>
        <w:separator/>
      </w:r>
    </w:p>
  </w:endnote>
  <w:endnote w:type="continuationSeparator" w:id="0">
    <w:p w14:paraId="5A504BF4" w14:textId="77777777" w:rsidR="00C330C8" w:rsidRDefault="00C330C8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8689" w14:textId="77777777" w:rsidR="00743E91" w:rsidRPr="00E465BD" w:rsidRDefault="00743E91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045513E2" wp14:editId="4EE87DF9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17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256" behindDoc="0" locked="0" layoutInCell="1" allowOverlap="1" wp14:anchorId="48358E20" wp14:editId="499A4534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8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8208" behindDoc="0" locked="0" layoutInCell="1" allowOverlap="1" wp14:anchorId="3E5DC517" wp14:editId="2E5EDE18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9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087B174A" wp14:editId="753919D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0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4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B93791">
      <w:rPr>
        <w:b/>
        <w:bCs/>
        <w:sz w:val="28"/>
        <w:szCs w:val="28"/>
        <w:cs/>
        <w:lang w:val="en-US"/>
      </w:rPr>
      <w:t>ความสามารถของระบบงานเพื่อรองรับการให้บริการผู้ประกอบการ</w:t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D19A" w14:textId="77777777" w:rsidR="00C330C8" w:rsidRDefault="00C330C8" w:rsidP="00B72412">
      <w:r>
        <w:separator/>
      </w:r>
    </w:p>
  </w:footnote>
  <w:footnote w:type="continuationSeparator" w:id="0">
    <w:p w14:paraId="085698CF" w14:textId="77777777" w:rsidR="00C330C8" w:rsidRDefault="00C330C8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E41028"/>
    <w:multiLevelType w:val="hybridMultilevel"/>
    <w:tmpl w:val="2990EC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6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5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3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4"/>
  </w:num>
  <w:num w:numId="10" w16cid:durableId="142622887">
    <w:abstractNumId w:val="31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5"/>
  </w:num>
  <w:num w:numId="14" w16cid:durableId="160050725">
    <w:abstractNumId w:val="30"/>
  </w:num>
  <w:num w:numId="15" w16cid:durableId="1874338707">
    <w:abstractNumId w:val="29"/>
  </w:num>
  <w:num w:numId="16" w16cid:durableId="1873106714">
    <w:abstractNumId w:val="10"/>
  </w:num>
  <w:num w:numId="17" w16cid:durableId="1499885751">
    <w:abstractNumId w:val="26"/>
  </w:num>
  <w:num w:numId="18" w16cid:durableId="1744454012">
    <w:abstractNumId w:val="1"/>
  </w:num>
  <w:num w:numId="19" w16cid:durableId="111293491">
    <w:abstractNumId w:val="22"/>
  </w:num>
  <w:num w:numId="20" w16cid:durableId="1022583898">
    <w:abstractNumId w:val="13"/>
  </w:num>
  <w:num w:numId="21" w16cid:durableId="2007433473">
    <w:abstractNumId w:val="37"/>
  </w:num>
  <w:num w:numId="22" w16cid:durableId="785080935">
    <w:abstractNumId w:val="32"/>
  </w:num>
  <w:num w:numId="23" w16cid:durableId="1473521722">
    <w:abstractNumId w:val="27"/>
  </w:num>
  <w:num w:numId="24" w16cid:durableId="146174387">
    <w:abstractNumId w:val="19"/>
  </w:num>
  <w:num w:numId="25" w16cid:durableId="1094396191">
    <w:abstractNumId w:val="38"/>
  </w:num>
  <w:num w:numId="26" w16cid:durableId="564992653">
    <w:abstractNumId w:val="14"/>
  </w:num>
  <w:num w:numId="27" w16cid:durableId="1974362825">
    <w:abstractNumId w:val="39"/>
  </w:num>
  <w:num w:numId="28" w16cid:durableId="2098987325">
    <w:abstractNumId w:val="24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8"/>
  </w:num>
  <w:num w:numId="33" w16cid:durableId="1965230746">
    <w:abstractNumId w:val="21"/>
  </w:num>
  <w:num w:numId="34" w16cid:durableId="1411391324">
    <w:abstractNumId w:val="35"/>
  </w:num>
  <w:num w:numId="35" w16cid:durableId="233666473">
    <w:abstractNumId w:val="33"/>
  </w:num>
  <w:num w:numId="36" w16cid:durableId="504827312">
    <w:abstractNumId w:val="20"/>
  </w:num>
  <w:num w:numId="37" w16cid:durableId="1607686888">
    <w:abstractNumId w:val="16"/>
  </w:num>
  <w:num w:numId="38" w16cid:durableId="923612308">
    <w:abstractNumId w:val="36"/>
  </w:num>
  <w:num w:numId="39" w16cid:durableId="703484334">
    <w:abstractNumId w:val="15"/>
  </w:num>
  <w:num w:numId="40" w16cid:durableId="1767653395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6785C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607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1EAE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64B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A7F17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85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1A74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D72AD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1797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B33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2E7A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5CBC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F3D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005E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5DA2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5A0A"/>
    <w:rsid w:val="00696162"/>
    <w:rsid w:val="006962F1"/>
    <w:rsid w:val="006972C2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13CC"/>
    <w:rsid w:val="00732157"/>
    <w:rsid w:val="00732C3E"/>
    <w:rsid w:val="00732E44"/>
    <w:rsid w:val="007356F2"/>
    <w:rsid w:val="00737D3B"/>
    <w:rsid w:val="00742C71"/>
    <w:rsid w:val="00742C9A"/>
    <w:rsid w:val="00743E91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0F50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4479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622D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507A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5623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1A82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285E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6DBA"/>
    <w:rsid w:val="00A57108"/>
    <w:rsid w:val="00A607D7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5F5A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1868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A5C2D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4A5C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0C8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7E0"/>
    <w:rsid w:val="00CD0602"/>
    <w:rsid w:val="00CD0A9C"/>
    <w:rsid w:val="00CD14D5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3CE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2E0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</cp:revision>
  <cp:lastPrinted>2022-10-17T03:31:00Z</cp:lastPrinted>
  <dcterms:created xsi:type="dcterms:W3CDTF">2022-11-10T08:57:00Z</dcterms:created>
  <dcterms:modified xsi:type="dcterms:W3CDTF">2022-11-10T08:57:00Z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b243a69558f12776d8d34bcc4a0d98108282f694c6968d548658f3f74ce550ae</vt:lpwstr>
  </property>
</Properties>
</file>