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200" w:after="200"/>
        <w:jc w:val="center"/>
      </w:pPr>
      <w:r>
        <w:rPr>
          <w:rFonts w:ascii="Arial" w:cs="Arial" w:eastAsia="Arial" w:hAnsi="Arial"/>
          <w:b/>
          <w:bCs/>
          <w:color w:val="1A2E5A"/>
          <w:sz w:val="56"/>
          <w:szCs w:val="56"/>
        </w:rPr>
        <w:t xml:space="preserve">LUKASH PROTOCOL</w:t>
      </w:r>
    </w:p>
    <w:p>
      <w:pPr>
        <w:spacing w:before="0" w:after="400"/>
        <w:jc w:val="center"/>
      </w:pPr>
      <w:r>
        <w:rPr>
          <w:rFonts w:ascii="Arial" w:cs="Arial" w:eastAsia="Arial" w:hAnsi="Arial"/>
          <w:b/>
          <w:bCs/>
          <w:color w:val="C9A84C"/>
          <w:sz w:val="36"/>
          <w:szCs w:val="36"/>
        </w:rPr>
        <w:t xml:space="preserve">ANÁLISIS ESTRATÉGICO INTEGRAL</w:t>
      </w:r>
    </w:p>
    <w:p>
      <w:pPr>
        <w:spacing w:before="0" w:after="200"/>
        <w:jc w:val="center"/>
      </w:pPr>
      <w:r>
        <w:rPr>
          <w:rFonts w:ascii="Arial" w:cs="Arial" w:eastAsia="Arial" w:hAnsi="Arial"/>
          <w:i/>
          <w:iCs/>
          <w:color w:val="555555"/>
          <w:sz w:val="24"/>
          <w:szCs w:val="24"/>
        </w:rPr>
        <w:t xml:space="preserve">Diagnóstico Completo · Validación de Mercado · Hoja de Ruta Reformulada</w:t>
      </w:r>
    </w:p>
    <w:p>
      <w:pPr>
        <w:spacing w:before="120"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7200"/>
            <w:gridSpan w:val="2"/>
            <w:tcBorders>
              <w:top w:val="none"/>
              <w:left w:val="none"/>
              <w:bottom w:val="none"/>
              <w:right w:val="none"/>
            </w:tcBorders>
            <w:shd w:fill="1A2E5A"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Ing. Sebastián Botero Pabón  |  Marzo 2026</w:t>
            </w:r>
          </w:p>
          <w:p>
            <w:pPr>
              <w:jc w:val="center"/>
            </w:pPr>
            <w:r>
              <w:rPr>
                <w:rFonts w:ascii="Arial" w:cs="Arial" w:eastAsia="Arial" w:hAnsi="Arial"/>
                <w:i/>
                <w:iCs/>
                <w:color w:val="AABBCC"/>
                <w:sz w:val="20"/>
                <w:szCs w:val="20"/>
              </w:rPr>
              <w:t xml:space="preserve">Análisis elaborado por experto senior en blockchain, fintech y desarrollo de negocios</w:t>
            </w:r>
          </w:p>
        </w:tc>
      </w:tr>
    </w:tbl>
    <w:p>
      <w:pPr>
        <w:spacing w:before="120" w:after="120"/>
      </w:pPr>
      <w:r>
        <w:t xml:space="preserve"/>
      </w:r>
    </w:p>
    <w:p>
      <w:pPr>
        <w:spacing w:before="120" w:after="120"/>
      </w:pPr>
      <w:r>
        <w:t xml:space="preserve"/>
      </w:r>
    </w:p>
    <w:p>
      <w:pPr>
        <w:spacing w:before="300"/>
        <w:jc w:val="center"/>
      </w:pPr>
      <w:r>
        <w:rPr>
          <w:rFonts w:ascii="Arial" w:cs="Arial" w:eastAsia="Arial" w:hAnsi="Arial"/>
          <w:color w:val="999999"/>
          <w:sz w:val="18"/>
          <w:szCs w:val="18"/>
        </w:rPr>
        <w:t xml:space="preserve">DOCUMENTO CONFIDENCIAL — USO INTERNO Y PRESENTACIÓN A INVERSORES</w:t>
      </w:r>
    </w:p>
    <w:p>
      <w:r>
        <w:br w:type="page"/>
      </w:r>
    </w:p>
    <w:p>
      <w:pPr>
        <w:pStyle w:val="Heading1"/>
        <w:spacing w:before="360" w:after="200"/>
      </w:pPr>
      <w:r>
        <w:rPr>
          <w:rFonts w:ascii="Arial" w:cs="Arial" w:eastAsia="Arial" w:hAnsi="Arial"/>
          <w:b/>
          <w:bCs/>
          <w:color w:val="1A2E5A"/>
          <w:sz w:val="32"/>
          <w:szCs w:val="32"/>
        </w:rPr>
        <w:t xml:space="preserve">1. RESUMEN EJECUTIVO: EL DIAGNÓSTICO</w:t>
      </w:r>
    </w:p>
    <w:p>
      <w:pPr>
        <w:spacing w:before="80" w:after="100"/>
        <w:jc w:val="both"/>
      </w:pPr>
      <w:r>
        <w:rPr>
          <w:rFonts w:ascii="Arial" w:cs="Arial" w:eastAsia="Arial" w:hAnsi="Arial"/>
          <w:sz w:val="22"/>
          <w:szCs w:val="22"/>
        </w:rPr>
        <w:t xml:space="preserve">Después de revisar exhaustivamente el Protocolo LUKASH v3.0, el Business Model v1.0 y el informe de Estrategia de Soberanía Bancaria Gamificada, y contrastarlo con la realidad del mercado financiero en LATAM y el ecosistema cripto en 2025-2026, presento un diagnóstico completo con observaciones críticas y un plan de acción para convertir este proyecto en una propuesta irresistible tanto para inversores como para usuarios finales.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A2E5A" w:val="clear"/>
            <w:tcMar>
              <w:top w:type="dxa" w:w="0"/>
              <w:left w:type="dxa" w:w="0"/>
              <w:bottom w:type="dxa" w:w="0"/>
              <w:right w:type="dxa" w:w="0"/>
            </w:tcMar>
          </w:tcPr>
          <w:p>
            <w:r>
              <w:t xml:space="preserve"/>
            </w:r>
          </w:p>
        </w:tc>
        <w:tc>
          <w:tcPr>
            <w:tcW w:type="dxa" w:w="9160"/>
            <w:tcBorders>
              <w:top w:val="none"/>
              <w:left w:val="none"/>
              <w:bottom w:val="none"/>
              <w:right w:val="none"/>
            </w:tcBorders>
            <w:shd w:fill="E8F0FE" w:val="clear"/>
            <w:tcMar>
              <w:top w:type="dxa" w:w="120"/>
              <w:left w:type="dxa" w:w="200"/>
              <w:bottom w:type="dxa" w:w="120"/>
              <w:right w:type="dxa" w:w="200"/>
            </w:tcMar>
          </w:tcPr>
          <w:p>
            <w:r>
              <w:rPr>
                <w:rFonts w:ascii="Arial" w:cs="Arial" w:eastAsia="Arial" w:hAnsi="Arial"/>
                <w:i/>
                <w:iCs/>
                <w:sz w:val="22"/>
                <w:szCs w:val="22"/>
              </w:rPr>
              <w:t xml:space="preserve">DIAGNÓSTICO GENERAL: El protocolo tiene una arquitectura económica técnicamente sólida y bien pensada. El problema central no es el 'qué' sino el 'cómo contarlo' y 'a quién contarle primero'. Hay tres brechas críticas que, al resolverse, transforman este proyecto de bueno a extraordinario.</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Las 3 Brechas Críticas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800"/>
        <w:gridCol w:w="1960"/>
      </w:tblGrid>
      <w:tr>
        <w:trPr>
          <w:tblHeader/>
        </w:trPr>
        <w:tc>
          <w:tcPr>
            <w:tcW w:type="dxa" w:w="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Brecha Identificada</w:t>
            </w:r>
          </w:p>
        </w:tc>
        <w:tc>
          <w:tcPr>
            <w:tcW w:type="dxa" w:w="2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19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Narrativa Meme: genera desconfianza institucional sin eliminar la dependencia de volumen especulativo inicial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Alto — bloquea inversión institucional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Problema mal definido: no hay un 'dolor único' claro y comprobable que el inversionista no técnico pueda asimilar emocionalmente</w:t>
            </w:r>
          </w:p>
        </w:tc>
        <w:tc>
          <w:tcPr>
            <w:tcW w:type="dxa" w:w="2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Alto — dificulta pitch y fundraising</w:t>
            </w:r>
          </w:p>
        </w:tc>
        <w:tc>
          <w:tcPr>
            <w:tcW w:type="dxa" w:w="19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CRÍTICA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Conexión entre las 3 fases no es obvia: el juego, la wallet y la banca parecen 3 productos distintos en vez de un solo camino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Medio — confunde al usuario y al inversor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ALTA</w:t>
            </w:r>
          </w:p>
        </w:tc>
      </w:tr>
    </w:tbl>
    <w:p>
      <w:pPr>
        <w:spacing w:before="120" w:after="120"/>
      </w:pPr>
      <w:r>
        <w:t xml:space="preserve"/>
      </w:r>
    </w:p>
    <w:p>
      <w:pPr>
        <w:spacing w:before="80" w:after="100"/>
        <w:jc w:val="both"/>
      </w:pPr>
      <w:r>
        <w:rPr>
          <w:rFonts w:ascii="Arial" w:cs="Arial" w:eastAsia="Arial" w:hAnsi="Arial"/>
          <w:sz w:val="22"/>
          <w:szCs w:val="22"/>
        </w:rPr>
        <w:t xml:space="preserve">Este análisis aborda cada una con datos de mercado reales, propone reformulaciones concretas, y entrega una nueva narrativa coherente de proyecto.</w:t>
      </w:r>
    </w:p>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2. INVESTIGACIÓN EXHAUSTIVA DEL MERCADO</w:t>
      </w:r>
    </w:p>
    <w:p>
      <w:pPr>
        <w:pStyle w:val="Heading2"/>
        <w:spacing w:before="280" w:after="160"/>
      </w:pPr>
      <w:r>
        <w:rPr>
          <w:rFonts w:ascii="Arial" w:cs="Arial" w:eastAsia="Arial" w:hAnsi="Arial"/>
          <w:b/>
          <w:bCs/>
          <w:color w:val="1A2E5A"/>
          <w:sz w:val="26"/>
          <w:szCs w:val="26"/>
        </w:rPr>
        <w:t xml:space="preserve">2.1 El Problema Real en LATAM: Datos que Hablan Solos</w:t>
      </w:r>
    </w:p>
    <w:p>
      <w:pPr>
        <w:spacing w:before="80" w:after="100"/>
        <w:jc w:val="both"/>
      </w:pPr>
      <w:r>
        <w:rPr>
          <w:rFonts w:ascii="Arial" w:cs="Arial" w:eastAsia="Arial" w:hAnsi="Arial"/>
          <w:sz w:val="22"/>
          <w:szCs w:val="22"/>
        </w:rPr>
        <w:t xml:space="preserve">Para reformular el pitch del proyecto, necesitamos partir de una verdad estadística irrefutable. Aquí los números duros que validan la necesidad de LUKASH:</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A. La Paradoja de la Bancarización Superficial</w:t>
      </w:r>
    </w:p>
    <w:p>
      <w:pPr>
        <w:spacing w:before="80" w:after="100"/>
        <w:jc w:val="both"/>
      </w:pPr>
      <w:r>
        <w:rPr>
          <w:rFonts w:ascii="Arial" w:cs="Arial" w:eastAsia="Arial" w:hAnsi="Arial"/>
          <w:sz w:val="22"/>
          <w:szCs w:val="22"/>
        </w:rPr>
        <w:t xml:space="preserve">LATAM aparenta avanzar en inclusión financiera, pero los datos revelan una trampa: tener cuenta bancaria no es lo mismo que tener acceso al capital.</w:t>
      </w:r>
    </w:p>
    <w:p>
      <w:pPr>
        <w:spacing w:before="120" w:after="120"/>
      </w:pPr>
      <w:r>
        <w:t xml:space="preserve"/>
      </w:r>
    </w:p>
    <w:p>
      <w:pPr>
        <w:spacing w:before="80" w:after="80"/>
      </w:pPr>
      <w:r>
        <w:rPr>
          <w:rFonts w:ascii="Arial" w:cs="Arial" w:eastAsia="Arial" w:hAnsi="Arial"/>
          <w:b/>
          <w:bCs/>
          <w:color w:val="1A2E5A"/>
          <w:sz w:val="22"/>
          <w:szCs w:val="22"/>
        </w:rPr>
        <w:t xml:space="preserve">70% de adultos en LATAM: </w:t>
      </w:r>
      <w:r>
        <w:rPr>
          <w:rFonts w:ascii="Arial" w:cs="Arial" w:eastAsia="Arial" w:hAnsi="Arial"/>
          <w:b/>
          <w:bCs/>
          <w:color w:val="D0021B"/>
          <w:sz w:val="22"/>
          <w:szCs w:val="22"/>
        </w:rPr>
        <w:t xml:space="preserve">tienen cuenta bancaria (Global Findex 2025)</w:t>
      </w:r>
      <w:r>
        <w:rPr>
          <w:rFonts w:ascii="Arial" w:cs="Arial" w:eastAsia="Arial" w:hAnsi="Arial"/>
          <w:color w:val="555555"/>
          <w:sz w:val="20"/>
          <w:szCs w:val="20"/>
        </w:rPr>
        <w:t xml:space="preserve">  — pero solo el 24% puede pedir crédito formal</w:t>
      </w:r>
    </w:p>
    <w:p>
      <w:pPr>
        <w:spacing w:before="80" w:after="80"/>
      </w:pPr>
      <w:r>
        <w:rPr>
          <w:rFonts w:ascii="Arial" w:cs="Arial" w:eastAsia="Arial" w:hAnsi="Arial"/>
          <w:b/>
          <w:bCs/>
          <w:color w:val="1A2E5A"/>
          <w:sz w:val="22"/>
          <w:szCs w:val="22"/>
        </w:rPr>
        <w:t xml:space="preserve">37% de adultos en LATAM: </w:t>
      </w:r>
      <w:r>
        <w:rPr>
          <w:rFonts w:ascii="Arial" w:cs="Arial" w:eastAsia="Arial" w:hAnsi="Arial"/>
          <w:b/>
          <w:bCs/>
          <w:color w:val="D0021B"/>
          <w:sz w:val="22"/>
          <w:szCs w:val="22"/>
        </w:rPr>
        <w:t xml:space="preserve">tienen cuenta de dinero móvil (2024, +15pp vs 2021)</w:t>
      </w:r>
      <w:r>
        <w:rPr>
          <w:rFonts w:ascii="Arial" w:cs="Arial" w:eastAsia="Arial" w:hAnsi="Arial"/>
          <w:color w:val="555555"/>
          <w:sz w:val="20"/>
          <w:szCs w:val="20"/>
        </w:rPr>
        <w:t xml:space="preserve">  — la inclusión digital crece, pero el acceso al capital no</w:t>
      </w:r>
    </w:p>
    <w:p>
      <w:pPr>
        <w:spacing w:before="80" w:after="80"/>
      </w:pPr>
      <w:r>
        <w:rPr>
          <w:rFonts w:ascii="Arial" w:cs="Arial" w:eastAsia="Arial" w:hAnsi="Arial"/>
          <w:b/>
          <w:bCs/>
          <w:color w:val="1A2E5A"/>
          <w:sz w:val="22"/>
          <w:szCs w:val="22"/>
        </w:rPr>
        <w:t xml:space="preserve">Colombia: </w:t>
      </w:r>
      <w:r>
        <w:rPr>
          <w:rFonts w:ascii="Arial" w:cs="Arial" w:eastAsia="Arial" w:hAnsi="Arial"/>
          <w:b/>
          <w:bCs/>
          <w:color w:val="D0021B"/>
          <w:sz w:val="22"/>
          <w:szCs w:val="22"/>
        </w:rPr>
        <w:t xml:space="preserve">95.8% tiene producto de depósito, pero solo 35.5% accede a crédito formal</w:t>
      </w:r>
      <w:r>
        <w:t xml:space="preserve"/>
      </w:r>
    </w:p>
    <w:p>
      <w:pPr>
        <w:spacing w:before="80" w:after="80"/>
      </w:pPr>
      <w:r>
        <w:rPr>
          <w:rFonts w:ascii="Arial" w:cs="Arial" w:eastAsia="Arial" w:hAnsi="Arial"/>
          <w:b/>
          <w:bCs/>
          <w:color w:val="1A2E5A"/>
          <w:sz w:val="22"/>
          <w:szCs w:val="22"/>
        </w:rPr>
        <w:t xml:space="preserve">México: </w:t>
      </w:r>
      <w:r>
        <w:rPr>
          <w:rFonts w:ascii="Arial" w:cs="Arial" w:eastAsia="Arial" w:hAnsi="Arial"/>
          <w:b/>
          <w:bCs/>
          <w:color w:val="D0021B"/>
          <w:sz w:val="22"/>
          <w:szCs w:val="22"/>
        </w:rPr>
        <w:t xml:space="preserve">40% de la población sigue excluida financieramente (ENIF 2023)</w:t>
      </w:r>
      <w:r>
        <w:rPr>
          <w:rFonts w:ascii="Arial" w:cs="Arial" w:eastAsia="Arial" w:hAnsi="Arial"/>
          <w:color w:val="555555"/>
          <w:sz w:val="20"/>
          <w:szCs w:val="20"/>
        </w:rPr>
        <w:t xml:space="preserve">  — equivale a ~53 millones de personas</w:t>
      </w:r>
    </w:p>
    <w:p>
      <w:pPr>
        <w:spacing w:before="80" w:after="80"/>
      </w:pPr>
      <w:r>
        <w:rPr>
          <w:rFonts w:ascii="Arial" w:cs="Arial" w:eastAsia="Arial" w:hAnsi="Arial"/>
          <w:b/>
          <w:bCs/>
          <w:color w:val="1A2E5A"/>
          <w:sz w:val="22"/>
          <w:szCs w:val="22"/>
        </w:rPr>
        <w:t xml:space="preserve">Solo 1 de cada 5 jóvenes rurales en Colombia: </w:t>
      </w:r>
      <w:r>
        <w:rPr>
          <w:rFonts w:ascii="Arial" w:cs="Arial" w:eastAsia="Arial" w:hAnsi="Arial"/>
          <w:b/>
          <w:bCs/>
          <w:color w:val="D0021B"/>
          <w:sz w:val="22"/>
          <w:szCs w:val="22"/>
        </w:rPr>
        <w:t xml:space="preserve">tiene acceso a productos de depósito</w:t>
      </w:r>
      <w:r>
        <w:rPr>
          <w:rFonts w:ascii="Arial" w:cs="Arial" w:eastAsia="Arial" w:hAnsi="Arial"/>
          <w:color w:val="555555"/>
          <w:sz w:val="20"/>
          <w:szCs w:val="20"/>
        </w:rPr>
        <w:t xml:space="preserve">  — el problema se concentra en las poblaciones más vulnerables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417505" w:val="clear"/>
            <w:tcMar>
              <w:top w:type="dxa" w:w="0"/>
              <w:left w:type="dxa" w:w="0"/>
              <w:bottom w:type="dxa" w:w="0"/>
              <w:right w:type="dxa" w:w="0"/>
            </w:tcMar>
          </w:tcPr>
          <w:p>
            <w:r>
              <w:t xml:space="preserve"/>
            </w:r>
          </w:p>
        </w:tc>
        <w:tc>
          <w:tcPr>
            <w:tcW w:type="dxa" w:w="9160"/>
            <w:tcBorders>
              <w:top w:val="none"/>
              <w:left w:val="none"/>
              <w:bottom w:val="none"/>
              <w:right w:val="none"/>
            </w:tcBorders>
            <w:shd w:fill="EAF7EA" w:val="clear"/>
            <w:tcMar>
              <w:top w:type="dxa" w:w="120"/>
              <w:left w:type="dxa" w:w="200"/>
              <w:bottom w:type="dxa" w:w="120"/>
              <w:right w:type="dxa" w:w="200"/>
            </w:tcMar>
          </w:tcPr>
          <w:p>
            <w:r>
              <w:rPr>
                <w:rFonts w:ascii="Arial" w:cs="Arial" w:eastAsia="Arial" w:hAnsi="Arial"/>
                <w:i/>
                <w:iCs/>
                <w:sz w:val="22"/>
                <w:szCs w:val="22"/>
              </w:rPr>
              <w:t xml:space="preserve">EL DATO CLAVE PARA EL PITCH: En LATAM puedes tener tarjeta bancaria y aun así quedar excluido del sistema de crédito, inversión y ahorro productivo. El 70% están 'adentro' del sistema pero sin acceso al capital. LUKASH no resuelve la bancarización — resuelve el acceso al capital para los ya bancarizados pero sub-servidos.</w:t>
            </w:r>
          </w:p>
        </w:tc>
      </w:tr>
    </w:tbl>
    <w:p>
      <w:pPr>
        <w:spacing w:before="120" w:after="120"/>
      </w:pPr>
      <w:r>
        <w:t xml:space="preserve"/>
      </w:r>
    </w:p>
    <w:p>
      <w:pPr>
        <w:pStyle w:val="Heading3"/>
        <w:spacing w:before="200" w:after="120"/>
      </w:pPr>
      <w:r>
        <w:rPr>
          <w:rFonts w:ascii="Arial" w:cs="Arial" w:eastAsia="Arial" w:hAnsi="Arial"/>
          <w:b/>
          <w:bCs/>
          <w:color w:val="C9A84C"/>
          <w:sz w:val="24"/>
          <w:szCs w:val="24"/>
        </w:rPr>
        <w:t xml:space="preserve">B. El Costo Invisible de Ser Informal o Estar Sub-bancarizado</w:t>
      </w:r>
    </w:p>
    <w:p>
      <w:pPr>
        <w:pStyle w:val="ListParagraph"/>
        <w:numPr>
          <w:ilvl w:val="0"/>
          <w:numId w:val="2"/>
        </w:numPr>
        <w:spacing w:before="40" w:after="60"/>
      </w:pPr>
      <w:r>
        <w:rPr>
          <w:rFonts w:ascii="Arial" w:cs="Arial" w:eastAsia="Arial" w:hAnsi="Arial"/>
          <w:sz w:val="22"/>
          <w:szCs w:val="22"/>
        </w:rPr>
        <w:t xml:space="preserve">Los bancos tradicionales cobran entre $20 y $65 USD por transferencia internacional con demoras de 1-5 días hábiles</w:t>
      </w:r>
    </w:p>
    <w:p>
      <w:pPr>
        <w:pStyle w:val="ListParagraph"/>
        <w:numPr>
          <w:ilvl w:val="0"/>
          <w:numId w:val="2"/>
        </w:numPr>
        <w:spacing w:before="40" w:after="60"/>
      </w:pPr>
      <w:r>
        <w:rPr>
          <w:rFonts w:ascii="Arial" w:cs="Arial" w:eastAsia="Arial" w:hAnsi="Arial"/>
          <w:sz w:val="22"/>
          <w:szCs w:val="22"/>
        </w:rPr>
        <w:t xml:space="preserve">El costo promedio de remesas hacia LATAM sigue en 13.40% — uno de los más altos del mundo</w:t>
      </w:r>
    </w:p>
    <w:p>
      <w:pPr>
        <w:pStyle w:val="ListParagraph"/>
        <w:numPr>
          <w:ilvl w:val="0"/>
          <w:numId w:val="2"/>
        </w:numPr>
        <w:spacing w:before="40" w:after="60"/>
      </w:pPr>
      <w:r>
        <w:rPr>
          <w:rFonts w:ascii="Arial" w:cs="Arial" w:eastAsia="Arial" w:hAnsi="Arial"/>
          <w:sz w:val="22"/>
          <w:szCs w:val="22"/>
        </w:rPr>
        <w:t xml:space="preserve">Los préstamos informales en LATAM llegan hasta tasas del 400% anual en algunos mercados</w:t>
      </w:r>
    </w:p>
    <w:p>
      <w:pPr>
        <w:pStyle w:val="ListParagraph"/>
        <w:numPr>
          <w:ilvl w:val="0"/>
          <w:numId w:val="2"/>
        </w:numPr>
        <w:spacing w:before="40" w:after="60"/>
      </w:pPr>
      <w:r>
        <w:rPr>
          <w:rFonts w:ascii="Arial" w:cs="Arial" w:eastAsia="Arial" w:hAnsi="Arial"/>
          <w:sz w:val="22"/>
          <w:szCs w:val="22"/>
        </w:rPr>
        <w:t xml:space="preserve">El CAC (Costo de Adquisición de Cliente) de bancos tradicionales: $150-$350 USD; neobancos: $5-$15 USD; LUKASH proyectado: $3 USD</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C. La Generación que Viene: Nativos Digitales con Problema de Orientación Financiera</w:t>
      </w:r>
    </w:p>
    <w:p>
      <w:pPr>
        <w:spacing w:before="80" w:after="100"/>
        <w:jc w:val="both"/>
      </w:pPr>
      <w:r>
        <w:rPr>
          <w:rFonts w:ascii="Arial" w:cs="Arial" w:eastAsia="Arial" w:hAnsi="Arial"/>
          <w:sz w:val="22"/>
          <w:szCs w:val="22"/>
        </w:rPr>
        <w:t xml:space="preserve">El usuario objetivo de LUKASH no es el excluido total — es el incluido parcialmente y el joven que quiere más. Los datos son contundentes:</w:t>
      </w:r>
    </w:p>
    <w:p>
      <w:pPr>
        <w:spacing w:before="120" w:after="120"/>
      </w:pPr>
      <w:r>
        <w:t xml:space="preserve"/>
      </w:r>
    </w:p>
    <w:p>
      <w:pPr>
        <w:spacing w:before="80" w:after="80"/>
      </w:pPr>
      <w:r>
        <w:rPr>
          <w:rFonts w:ascii="Arial" w:cs="Arial" w:eastAsia="Arial" w:hAnsi="Arial"/>
          <w:b/>
          <w:bCs/>
          <w:color w:val="1A2E5A"/>
          <w:sz w:val="22"/>
          <w:szCs w:val="22"/>
        </w:rPr>
        <w:t xml:space="preserve">76% de la Generación Z: </w:t>
      </w:r>
      <w:r>
        <w:rPr>
          <w:rFonts w:ascii="Arial" w:cs="Arial" w:eastAsia="Arial" w:hAnsi="Arial"/>
          <w:b/>
          <w:bCs/>
          <w:color w:val="D0021B"/>
          <w:sz w:val="22"/>
          <w:szCs w:val="22"/>
        </w:rPr>
        <w:t xml:space="preserve">busca consejos financieros en TikTok e Instagram</w:t>
      </w:r>
      <w:r>
        <w:t xml:space="preserve"/>
      </w:r>
    </w:p>
    <w:p>
      <w:pPr>
        <w:spacing w:before="80" w:after="80"/>
      </w:pPr>
      <w:r>
        <w:rPr>
          <w:rFonts w:ascii="Arial" w:cs="Arial" w:eastAsia="Arial" w:hAnsi="Arial"/>
          <w:b/>
          <w:bCs/>
          <w:color w:val="1A2E5A"/>
          <w:sz w:val="22"/>
          <w:szCs w:val="22"/>
        </w:rPr>
        <w:t xml:space="preserve">#FinTok: </w:t>
      </w:r>
      <w:r>
        <w:rPr>
          <w:rFonts w:ascii="Arial" w:cs="Arial" w:eastAsia="Arial" w:hAnsi="Arial"/>
          <w:b/>
          <w:bCs/>
          <w:color w:val="D0021B"/>
          <w:sz w:val="22"/>
          <w:szCs w:val="22"/>
        </w:rPr>
        <w:t xml:space="preserve">supera los 1.4 mil millones de visitas en contenido financiero</w:t>
      </w:r>
      <w:r>
        <w:t xml:space="preserve"/>
      </w:r>
    </w:p>
    <w:p>
      <w:pPr>
        <w:spacing w:before="80" w:after="80"/>
      </w:pPr>
      <w:r>
        <w:rPr>
          <w:rFonts w:ascii="Arial" w:cs="Arial" w:eastAsia="Arial" w:hAnsi="Arial"/>
          <w:b/>
          <w:bCs/>
          <w:color w:val="1A2E5A"/>
          <w:sz w:val="22"/>
          <w:szCs w:val="22"/>
        </w:rPr>
        <w:t xml:space="preserve">70% de personas estafadas en 2024: </w:t>
      </w:r>
      <w:r>
        <w:rPr>
          <w:rFonts w:ascii="Arial" w:cs="Arial" w:eastAsia="Arial" w:hAnsi="Arial"/>
          <w:b/>
          <w:bCs/>
          <w:color w:val="D0021B"/>
          <w:sz w:val="22"/>
          <w:szCs w:val="22"/>
        </w:rPr>
        <w:t xml:space="preserve">fueron contactadas a través de redes sociales (FTC 2024)</w:t>
      </w:r>
      <w:r>
        <w:rPr>
          <w:rFonts w:ascii="Arial" w:cs="Arial" w:eastAsia="Arial" w:hAnsi="Arial"/>
          <w:color w:val="555555"/>
          <w:sz w:val="20"/>
          <w:szCs w:val="20"/>
        </w:rPr>
        <w:t xml:space="preserve">  — $1.9 billones en pérdidas</w:t>
      </w:r>
    </w:p>
    <w:p>
      <w:pPr>
        <w:spacing w:before="80" w:after="80"/>
      </w:pPr>
      <w:r>
        <w:rPr>
          <w:rFonts w:ascii="Arial" w:cs="Arial" w:eastAsia="Arial" w:hAnsi="Arial"/>
          <w:b/>
          <w:bCs/>
          <w:color w:val="1A2E5A"/>
          <w:sz w:val="22"/>
          <w:szCs w:val="22"/>
        </w:rPr>
        <w:t xml:space="preserve">Los jóvenes de 20-29 años: </w:t>
      </w:r>
      <w:r>
        <w:rPr>
          <w:rFonts w:ascii="Arial" w:cs="Arial" w:eastAsia="Arial" w:hAnsi="Arial"/>
          <w:b/>
          <w:bCs/>
          <w:color w:val="D0021B"/>
          <w:sz w:val="22"/>
          <w:szCs w:val="22"/>
        </w:rPr>
        <w:t xml:space="preserve">pierden dinero con mayor frecuencia que los adultos mayores</w:t>
      </w:r>
      <w:r>
        <w:rPr>
          <w:rFonts w:ascii="Arial" w:cs="Arial" w:eastAsia="Arial" w:hAnsi="Arial"/>
          <w:color w:val="555555"/>
          <w:sz w:val="20"/>
          <w:szCs w:val="20"/>
        </w:rPr>
        <w:t xml:space="preserve">  — por falta de herramientas seguras y confiables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F5A623" w:val="clear"/>
            <w:tcMar>
              <w:top w:type="dxa" w:w="0"/>
              <w:left w:type="dxa" w:w="0"/>
              <w:bottom w:type="dxa" w:w="0"/>
              <w:right w:type="dxa" w:w="0"/>
            </w:tcMar>
          </w:tcPr>
          <w:p>
            <w:r>
              <w:t xml:space="preserve"/>
            </w:r>
          </w:p>
        </w:tc>
        <w:tc>
          <w:tcPr>
            <w:tcW w:type="dxa" w:w="9160"/>
            <w:tcBorders>
              <w:top w:val="none"/>
              <w:left w:val="none"/>
              <w:bottom w:val="none"/>
              <w:right w:val="none"/>
            </w:tcBorders>
            <w:shd w:fill="FFF3CD" w:val="clear"/>
            <w:tcMar>
              <w:top w:type="dxa" w:w="120"/>
              <w:left w:type="dxa" w:w="200"/>
              <w:bottom w:type="dxa" w:w="120"/>
              <w:right w:type="dxa" w:w="200"/>
            </w:tcMar>
          </w:tcPr>
          <w:p>
            <w:r>
              <w:rPr>
                <w:rFonts w:ascii="Arial" w:cs="Arial" w:eastAsia="Arial" w:hAnsi="Arial"/>
                <w:i/>
                <w:iCs/>
                <w:sz w:val="22"/>
                <w:szCs w:val="22"/>
              </w:rPr>
              <w:t xml:space="preserve">OPORTUNIDAD DE MERCADO: Existe una generación que ya quiere invertir, ya usa el teléfono para todo financiero, pero que no tiene acceso a herramientas seguras, educativas y asequibles. TikTok los está educando — mal. LUKASH puede ser la alternativa verificada y con respaldo real.</w:t>
            </w:r>
          </w:p>
        </w:tc>
      </w:tr>
    </w:tbl>
    <w:p>
      <w:pPr>
        <w:spacing w:before="120" w:after="120"/>
      </w:pPr>
      <w:r>
        <w:t xml:space="preserve"/>
      </w:r>
    </w:p>
    <w:p>
      <w:pPr>
        <w:pStyle w:val="Heading3"/>
        <w:spacing w:before="200" w:after="120"/>
      </w:pPr>
      <w:r>
        <w:rPr>
          <w:rFonts w:ascii="Arial" w:cs="Arial" w:eastAsia="Arial" w:hAnsi="Arial"/>
          <w:b/>
          <w:bCs/>
          <w:color w:val="C9A84C"/>
          <w:sz w:val="24"/>
          <w:szCs w:val="24"/>
        </w:rPr>
        <w:t xml:space="preserve">D. Adopción Cripto en LATAM: La Prueba de que el Mercado ya Existe</w:t>
      </w:r>
    </w:p>
    <w:p>
      <w:pPr>
        <w:spacing w:before="80" w:after="100"/>
        <w:jc w:val="both"/>
      </w:pPr>
      <w:r>
        <w:rPr>
          <w:rFonts w:ascii="Arial" w:cs="Arial" w:eastAsia="Arial" w:hAnsi="Arial"/>
          <w:sz w:val="22"/>
          <w:szCs w:val="22"/>
        </w:rPr>
        <w:t xml:space="preserve">El mercado cripto en LATAM ya no es especulativo — es utilitario. Esto valida directamente la propuesta de valor de LUKASH:</w:t>
      </w:r>
    </w:p>
    <w:p>
      <w:pPr>
        <w:spacing w:before="120" w:after="120"/>
      </w:pPr>
      <w:r>
        <w:t xml:space="preserve"/>
      </w:r>
    </w:p>
    <w:p>
      <w:pPr>
        <w:spacing w:before="80" w:after="80"/>
      </w:pPr>
      <w:r>
        <w:rPr>
          <w:rFonts w:ascii="Arial" w:cs="Arial" w:eastAsia="Arial" w:hAnsi="Arial"/>
          <w:b/>
          <w:bCs/>
          <w:color w:val="1A2E5A"/>
          <w:sz w:val="22"/>
          <w:szCs w:val="22"/>
        </w:rPr>
        <w:t xml:space="preserve">$1.5 trillones en volumen cripto: </w:t>
      </w:r>
      <w:r>
        <w:rPr>
          <w:rFonts w:ascii="Arial" w:cs="Arial" w:eastAsia="Arial" w:hAnsi="Arial"/>
          <w:b/>
          <w:bCs/>
          <w:color w:val="D0021B"/>
          <w:sz w:val="22"/>
          <w:szCs w:val="22"/>
        </w:rPr>
        <w:t xml:space="preserve">registró LATAM entre julio 2022 y junio 2025 (Chainalysis)</w:t>
      </w:r>
      <w:r>
        <w:t xml:space="preserve"/>
      </w:r>
    </w:p>
    <w:p>
      <w:pPr>
        <w:spacing w:before="80" w:after="80"/>
      </w:pPr>
      <w:r>
        <w:rPr>
          <w:rFonts w:ascii="Arial" w:cs="Arial" w:eastAsia="Arial" w:hAnsi="Arial"/>
          <w:b/>
          <w:bCs/>
          <w:color w:val="1A2E5A"/>
          <w:sz w:val="22"/>
          <w:szCs w:val="22"/>
        </w:rPr>
        <w:t xml:space="preserve">63% de crecimiento YoY: </w:t>
      </w:r>
      <w:r>
        <w:rPr>
          <w:rFonts w:ascii="Arial" w:cs="Arial" w:eastAsia="Arial" w:hAnsi="Arial"/>
          <w:b/>
          <w:bCs/>
          <w:color w:val="D0021B"/>
          <w:sz w:val="22"/>
          <w:szCs w:val="22"/>
        </w:rPr>
        <w:t xml:space="preserve">en adopción cripto LATAM entre 2024-2025</w:t>
      </w:r>
      <w:r>
        <w:t xml:space="preserve"/>
      </w:r>
    </w:p>
    <w:p>
      <w:pPr>
        <w:spacing w:before="80" w:after="80"/>
      </w:pPr>
      <w:r>
        <w:rPr>
          <w:rFonts w:ascii="Arial" w:cs="Arial" w:eastAsia="Arial" w:hAnsi="Arial"/>
          <w:b/>
          <w:bCs/>
          <w:color w:val="1A2E5A"/>
          <w:sz w:val="22"/>
          <w:szCs w:val="22"/>
        </w:rPr>
        <w:t xml:space="preserve">12.1% de la población latinoamericana: </w:t>
      </w:r>
      <w:r>
        <w:rPr>
          <w:rFonts w:ascii="Arial" w:cs="Arial" w:eastAsia="Arial" w:hAnsi="Arial"/>
          <w:b/>
          <w:bCs/>
          <w:color w:val="D0021B"/>
          <w:sz w:val="22"/>
          <w:szCs w:val="22"/>
        </w:rPr>
        <w:t xml:space="preserve">ya tiene activos digitales (57.7 millones de personas, 2025)</w:t>
      </w:r>
      <w:r>
        <w:t xml:space="preserve"/>
      </w:r>
    </w:p>
    <w:p>
      <w:pPr>
        <w:spacing w:before="80" w:after="80"/>
      </w:pPr>
      <w:r>
        <w:rPr>
          <w:rFonts w:ascii="Arial" w:cs="Arial" w:eastAsia="Arial" w:hAnsi="Arial"/>
          <w:b/>
          <w:bCs/>
          <w:color w:val="1A2E5A"/>
          <w:sz w:val="22"/>
          <w:szCs w:val="22"/>
        </w:rPr>
        <w:t xml:space="preserve">Stablecoins = más del 60% del volumen: </w:t>
      </w:r>
      <w:r>
        <w:rPr>
          <w:rFonts w:ascii="Arial" w:cs="Arial" w:eastAsia="Arial" w:hAnsi="Arial"/>
          <w:b/>
          <w:bCs/>
          <w:color w:val="D0021B"/>
          <w:sz w:val="22"/>
          <w:szCs w:val="22"/>
        </w:rPr>
        <w:t xml:space="preserve">en Argentina; hasta 90% en Brasil — prueba de uso utilitario, no especulativo</w:t>
      </w:r>
      <w:r>
        <w:t xml:space="preserve"/>
      </w:r>
    </w:p>
    <w:p>
      <w:pPr>
        <w:spacing w:before="80" w:after="80"/>
      </w:pPr>
      <w:r>
        <w:rPr>
          <w:rFonts w:ascii="Arial" w:cs="Arial" w:eastAsia="Arial" w:hAnsi="Arial"/>
          <w:b/>
          <w:bCs/>
          <w:color w:val="1A2E5A"/>
          <w:sz w:val="22"/>
          <w:szCs w:val="22"/>
        </w:rPr>
        <w:t xml:space="preserve">Solana procesó $364 billones de dólares: </w:t>
      </w:r>
      <w:r>
        <w:rPr>
          <w:rFonts w:ascii="Arial" w:cs="Arial" w:eastAsia="Arial" w:hAnsi="Arial"/>
          <w:b/>
          <w:bCs/>
          <w:color w:val="D0021B"/>
          <w:sz w:val="22"/>
          <w:szCs w:val="22"/>
        </w:rPr>
        <w:t xml:space="preserve">en su pico de 2025, superando el volumen combinado de Ethereum y Coinbase</w:t>
      </w:r>
      <w:r>
        <w:t xml:space="preserve"/>
      </w:r>
    </w:p>
    <w:p>
      <w:pPr>
        <w:spacing w:before="80" w:after="80"/>
      </w:pPr>
      <w:r>
        <w:rPr>
          <w:rFonts w:ascii="Arial" w:cs="Arial" w:eastAsia="Arial" w:hAnsi="Arial"/>
          <w:b/>
          <w:bCs/>
          <w:color w:val="1A2E5A"/>
          <w:sz w:val="22"/>
          <w:szCs w:val="22"/>
        </w:rPr>
        <w:t xml:space="preserve">Proyección mercado cripto LATAM: </w:t>
      </w:r>
      <w:r>
        <w:rPr>
          <w:rFonts w:ascii="Arial" w:cs="Arial" w:eastAsia="Arial" w:hAnsi="Arial"/>
          <w:b/>
          <w:bCs/>
          <w:color w:val="D0021B"/>
          <w:sz w:val="22"/>
          <w:szCs w:val="22"/>
        </w:rPr>
        <w:t xml:space="preserve">crecer de $162 billones (2024) a $442 billones (2033) — CAGR 10.93%</w:t>
      </w:r>
      <w:r>
        <w:t xml:space="preserve"/>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 El Mercado de RWA: La Mega-oportunidad de Largo Plazo</w:t>
      </w:r>
    </w:p>
    <w:p>
      <w:pPr>
        <w:spacing w:before="80" w:after="80"/>
      </w:pPr>
      <w:r>
        <w:rPr>
          <w:rFonts w:ascii="Arial" w:cs="Arial" w:eastAsia="Arial" w:hAnsi="Arial"/>
          <w:b/>
          <w:bCs/>
          <w:color w:val="1A2E5A"/>
          <w:sz w:val="22"/>
          <w:szCs w:val="22"/>
        </w:rPr>
        <w:t xml:space="preserve">$25 billones USD: </w:t>
      </w:r>
      <w:r>
        <w:rPr>
          <w:rFonts w:ascii="Arial" w:cs="Arial" w:eastAsia="Arial" w:hAnsi="Arial"/>
          <w:b/>
          <w:bCs/>
          <w:color w:val="D0021B"/>
          <w:sz w:val="22"/>
          <w:szCs w:val="22"/>
        </w:rPr>
        <w:t xml:space="preserve">en activos tokenizados (RWA) a mid-2025, creciendo desde $8.6B en un semestre</w:t>
      </w:r>
      <w:r>
        <w:t xml:space="preserve"/>
      </w:r>
    </w:p>
    <w:p>
      <w:pPr>
        <w:spacing w:before="80" w:after="80"/>
      </w:pPr>
      <w:r>
        <w:rPr>
          <w:rFonts w:ascii="Arial" w:cs="Arial" w:eastAsia="Arial" w:hAnsi="Arial"/>
          <w:b/>
          <w:bCs/>
          <w:color w:val="1A2E5A"/>
          <w:sz w:val="22"/>
          <w:szCs w:val="22"/>
        </w:rPr>
        <w:t xml:space="preserve">$16 trillones USD: </w:t>
      </w:r>
      <w:r>
        <w:rPr>
          <w:rFonts w:ascii="Arial" w:cs="Arial" w:eastAsia="Arial" w:hAnsi="Arial"/>
          <w:b/>
          <w:bCs/>
          <w:color w:val="D0021B"/>
          <w:sz w:val="22"/>
          <w:szCs w:val="22"/>
        </w:rPr>
        <w:t xml:space="preserve">proyección del mercado RWA en 2030 (BCG) — 10% del PIB global</w:t>
      </w:r>
      <w:r>
        <w:t xml:space="preserve"/>
      </w:r>
    </w:p>
    <w:p>
      <w:pPr>
        <w:spacing w:before="80" w:after="80"/>
      </w:pPr>
      <w:r>
        <w:rPr>
          <w:rFonts w:ascii="Arial" w:cs="Arial" w:eastAsia="Arial" w:hAnsi="Arial"/>
          <w:b/>
          <w:bCs/>
          <w:color w:val="1A2E5A"/>
          <w:sz w:val="22"/>
          <w:szCs w:val="22"/>
        </w:rPr>
        <w:t xml:space="preserve">$18.9 billones: </w:t>
      </w:r>
      <w:r>
        <w:rPr>
          <w:rFonts w:ascii="Arial" w:cs="Arial" w:eastAsia="Arial" w:hAnsi="Arial"/>
          <w:b/>
          <w:bCs/>
          <w:color w:val="D0021B"/>
          <w:sz w:val="22"/>
          <w:szCs w:val="22"/>
        </w:rPr>
        <w:t xml:space="preserve">en crédito privado tokenizado como segmento dominante actual</w:t>
      </w:r>
      <w:r>
        <w:t xml:space="preserve"/>
      </w:r>
    </w:p>
    <w:p>
      <w:pPr>
        <w:spacing w:before="80" w:after="100"/>
        <w:jc w:val="both"/>
      </w:pPr>
      <w:r>
        <w:rPr>
          <w:rFonts w:ascii="Arial" w:cs="Arial" w:eastAsia="Arial" w:hAnsi="Arial"/>
          <w:sz w:val="22"/>
          <w:szCs w:val="22"/>
        </w:rPr>
        <w:t xml:space="preserve">Esto no es solo el futuro — es el presente. Y LUKASH está posicionado para ser la puerta de entrada a este mercado para el usuario latinoamericano.</w:t>
      </w:r>
    </w:p>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3. ANÁLISIS CRÍTICO DE LAS 3 OBSERVACIONES</w:t>
      </w:r>
    </w:p>
    <w:p>
      <w:pPr>
        <w:pStyle w:val="Heading2"/>
        <w:spacing w:before="280" w:after="160"/>
      </w:pPr>
      <w:r>
        <w:rPr>
          <w:rFonts w:ascii="Arial" w:cs="Arial" w:eastAsia="Arial" w:hAnsi="Arial"/>
          <w:b/>
          <w:bCs/>
          <w:color w:val="1A2E5A"/>
          <w:sz w:val="26"/>
          <w:szCs w:val="26"/>
        </w:rPr>
        <w:t xml:space="preserve">Observación #1: La Estrategia Meme en la Fase 1 es un Riesgo Real</w:t>
      </w:r>
    </w:p>
    <w:p>
      <w:pPr>
        <w:spacing w:before="80" w:after="100"/>
        <w:jc w:val="both"/>
      </w:pPr>
      <w:r>
        <w:rPr>
          <w:rFonts w:ascii="Arial" w:cs="Arial" w:eastAsia="Arial" w:hAnsi="Arial"/>
          <w:sz w:val="22"/>
          <w:szCs w:val="22"/>
        </w:rPr>
        <w:t xml:space="preserve">Esta es la observación más delicada, porque toca el corazón de la estrategia de arranque. El análisis es matizado: el problema NO es el mecanismo económico del Motor A (que es brillante), sino el POSICIONAMIENTO narrativo como 'memecoin' ante inversores institucionales.</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¿Qué está bien?</w:t>
      </w:r>
    </w:p>
    <w:p>
      <w:pPr>
        <w:pStyle w:val="ListParagraph"/>
        <w:numPr>
          <w:ilvl w:val="0"/>
          <w:numId w:val="2"/>
        </w:numPr>
        <w:spacing w:before="40" w:after="60"/>
      </w:pPr>
      <w:r>
        <w:rPr>
          <w:rFonts w:ascii="Arial" w:cs="Arial" w:eastAsia="Arial" w:hAnsi="Arial"/>
          <w:sz w:val="22"/>
          <w:szCs w:val="22"/>
        </w:rPr>
        <w:t xml:space="preserve">El Motor A capta volumen de trading especulativo y lo convierte en reservas reales — esto es ingenioso y funciona</w:t>
      </w:r>
    </w:p>
    <w:p>
      <w:pPr>
        <w:pStyle w:val="ListParagraph"/>
        <w:numPr>
          <w:ilvl w:val="0"/>
          <w:numId w:val="2"/>
        </w:numPr>
        <w:spacing w:before="40" w:after="60"/>
      </w:pPr>
      <w:r>
        <w:rPr>
          <w:rFonts w:ascii="Arial" w:cs="Arial" w:eastAsia="Arial" w:hAnsi="Arial"/>
          <w:sz w:val="22"/>
          <w:szCs w:val="22"/>
        </w:rPr>
        <w:t xml:space="preserve">El hype como mecanismo de bootstrapping es una estrategia válida y probada (BONK, WIF)</w:t>
      </w:r>
    </w:p>
    <w:p>
      <w:pPr>
        <w:pStyle w:val="ListParagraph"/>
        <w:numPr>
          <w:ilvl w:val="0"/>
          <w:numId w:val="2"/>
        </w:numPr>
        <w:spacing w:before="40" w:after="60"/>
      </w:pPr>
      <w:r>
        <w:rPr>
          <w:rFonts w:ascii="Arial" w:cs="Arial" w:eastAsia="Arial" w:hAnsi="Arial"/>
          <w:sz w:val="22"/>
          <w:szCs w:val="22"/>
        </w:rPr>
        <w:t xml:space="preserve">La deflación acelerada en 90 días da momentum narrativo poderoso</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¿Cuál es el problema real?</w:t>
      </w:r>
    </w:p>
    <w:p>
      <w:pPr>
        <w:pStyle w:val="ListParagraph"/>
        <w:numPr>
          <w:ilvl w:val="0"/>
          <w:numId w:val="2"/>
        </w:numPr>
        <w:spacing w:before="40" w:after="60"/>
      </w:pPr>
      <w:r>
        <w:rPr>
          <w:rFonts w:ascii="Arial" w:cs="Arial" w:eastAsia="Arial" w:hAnsi="Arial"/>
          <w:sz w:val="22"/>
          <w:szCs w:val="22"/>
        </w:rPr>
        <w:t xml:space="preserve">La palabra 'memecoin' activa un filtro de desconfianza automático en inversores institucionales y sofisticados</w:t>
      </w:r>
    </w:p>
    <w:p>
      <w:pPr>
        <w:pStyle w:val="ListParagraph"/>
        <w:numPr>
          <w:ilvl w:val="0"/>
          <w:numId w:val="2"/>
        </w:numPr>
        <w:spacing w:before="40" w:after="60"/>
      </w:pPr>
      <w:r>
        <w:rPr>
          <w:rFonts w:ascii="Arial" w:cs="Arial" w:eastAsia="Arial" w:hAnsi="Arial"/>
          <w:sz w:val="22"/>
          <w:szCs w:val="22"/>
        </w:rPr>
        <w:t xml:space="preserve">En 2025-2026, post-colapsos de Terra/Luna, FTX y miles de memecoins, el mercado institucional rechaza proyectos con esa narrativa inicial</w:t>
      </w:r>
    </w:p>
    <w:p>
      <w:pPr>
        <w:pStyle w:val="ListParagraph"/>
        <w:numPr>
          <w:ilvl w:val="0"/>
          <w:numId w:val="2"/>
        </w:numPr>
        <w:spacing w:before="40" w:after="60"/>
      </w:pPr>
      <w:r>
        <w:rPr>
          <w:rFonts w:ascii="Arial" w:cs="Arial" w:eastAsia="Arial" w:hAnsi="Arial"/>
          <w:sz w:val="22"/>
          <w:szCs w:val="22"/>
        </w:rPr>
        <w:t xml:space="preserve">El 'tiempo de retención de 100 segundos' que mencionan sus propios documentos como dato del mercado meme, trabaja en contra cuando se presenta ante inversores que buscan utilidad real</w:t>
      </w:r>
    </w:p>
    <w:p>
      <w:pPr>
        <w:pStyle w:val="ListParagraph"/>
        <w:numPr>
          <w:ilvl w:val="0"/>
          <w:numId w:val="2"/>
        </w:numPr>
        <w:spacing w:before="40" w:after="60"/>
      </w:pPr>
      <w:r>
        <w:rPr>
          <w:rFonts w:ascii="Arial" w:cs="Arial" w:eastAsia="Arial" w:hAnsi="Arial"/>
          <w:sz w:val="22"/>
          <w:szCs w:val="22"/>
        </w:rPr>
        <w:t xml:space="preserve">Un inversor no técnico escucha 'memecoin' y piensa 'FOMO, pump and dump, pérdida de capital'</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La Solución: Renombrar la Fase 1, no Cambiarla</w:t>
      </w:r>
    </w:p>
    <w:p>
      <w:pPr>
        <w:spacing w:before="80" w:after="100"/>
        <w:jc w:val="both"/>
      </w:pPr>
      <w:r>
        <w:rPr>
          <w:rFonts w:ascii="Arial" w:cs="Arial" w:eastAsia="Arial" w:hAnsi="Arial"/>
          <w:sz w:val="22"/>
          <w:szCs w:val="22"/>
        </w:rPr>
        <w:t xml:space="preserve">El mecanismo económico de la Fase 1 se mantiene exactamente igual. Lo que cambia es cómo se presenta. La propuesta 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417505" w:val="clear"/>
            <w:tcMar>
              <w:top w:type="dxa" w:w="0"/>
              <w:left w:type="dxa" w:w="0"/>
              <w:bottom w:type="dxa" w:w="0"/>
              <w:right w:type="dxa" w:w="0"/>
            </w:tcMar>
          </w:tcPr>
          <w:p>
            <w:r>
              <w:t xml:space="preserve"/>
            </w:r>
          </w:p>
        </w:tc>
        <w:tc>
          <w:tcPr>
            <w:tcW w:type="dxa" w:w="9160"/>
            <w:tcBorders>
              <w:top w:val="none"/>
              <w:left w:val="none"/>
              <w:bottom w:val="none"/>
              <w:right w:val="none"/>
            </w:tcBorders>
            <w:shd w:fill="EAF7EA" w:val="clear"/>
            <w:tcMar>
              <w:top w:type="dxa" w:w="120"/>
              <w:left w:type="dxa" w:w="200"/>
              <w:bottom w:type="dxa" w:w="120"/>
              <w:right w:type="dxa" w:w="200"/>
            </w:tcMar>
          </w:tcPr>
          <w:p>
            <w:r>
              <w:rPr>
                <w:rFonts w:ascii="Arial" w:cs="Arial" w:eastAsia="Arial" w:hAnsi="Arial"/>
                <w:i/>
                <w:iCs/>
                <w:sz w:val="22"/>
                <w:szCs w:val="22"/>
              </w:rPr>
              <w:t xml:space="preserve">NUEVA NARRATIVA FASE 1: 'Generación de Liquidez Fundacional' — Un período de bootstrapping comunitario donde la cultura digital y el FOMO natural de los mercados cripto se convierten, por primera vez en la historia, en capital real que respalda una reserva soberana. No es especulación: es el mecanismo por el que la atención se transforma en valor.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358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Narrativa Antigua (Problema)</w:t>
            </w:r>
          </w:p>
        </w:tc>
        <w:tc>
          <w:tcPr>
            <w:tcW w:type="dxa" w:w="358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Nueva Narrativa (Solución)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1</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Viralidad Memética y Génesis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Génesis de Capital: Bootstrapping Comunitario Soberano</w:t>
            </w:r>
          </w:p>
        </w:tc>
      </w:tr>
      <w:tr>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$LUKA inicial</w:t>
            </w:r>
          </w:p>
        </w:tc>
        <w:tc>
          <w:tcPr>
            <w:tcW w:type="dxa" w:w="358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Memecoin de alto hype</w:t>
            </w:r>
          </w:p>
        </w:tc>
        <w:tc>
          <w:tcPr>
            <w:tcW w:type="dxa" w:w="358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Token de Arranque con Deflación Verificable On-Chain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Estrategia KOLs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Marketing de guerrilla viral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de Embajadores Financieros con Participación en el Vault</w:t>
            </w:r>
          </w:p>
        </w:tc>
      </w:tr>
      <w:tr>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Argumento para inversor</w:t>
            </w:r>
          </w:p>
        </w:tc>
        <w:tc>
          <w:tcPr>
            <w:tcW w:type="dxa" w:w="358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Meme atrae volumen</w:t>
            </w:r>
          </w:p>
        </w:tc>
        <w:tc>
          <w:tcPr>
            <w:tcW w:type="dxa" w:w="358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El volumen especulativo del ecosistema financia la reserva real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de progreso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Contador de quema de tokens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Barómetro de Capitalización de la Reserva Soberana</w:t>
            </w:r>
          </w:p>
        </w:tc>
      </w:tr>
    </w:tbl>
    <w:p>
      <w:pPr>
        <w:spacing w:before="120" w:after="120"/>
      </w:pPr>
      <w:r>
        <w:t xml:space="preserve"/>
      </w:r>
    </w:p>
    <w:p>
      <w:pPr>
        <w:pStyle w:val="Heading3"/>
        <w:spacing w:before="200" w:after="120"/>
      </w:pPr>
      <w:r>
        <w:rPr>
          <w:rFonts w:ascii="Arial" w:cs="Arial" w:eastAsia="Arial" w:hAnsi="Arial"/>
          <w:b/>
          <w:bCs/>
          <w:color w:val="C9A84C"/>
          <w:sz w:val="24"/>
          <w:szCs w:val="24"/>
        </w:rPr>
        <w:t xml:space="preserve">Alternativas de Estrategia para Fase 1 (sin depender del meme)</w:t>
      </w:r>
    </w:p>
    <w:p>
      <w:pPr>
        <w:spacing w:before="80" w:after="100"/>
        <w:jc w:val="both"/>
      </w:pPr>
      <w:r>
        <w:rPr>
          <w:rFonts w:ascii="Arial" w:cs="Arial" w:eastAsia="Arial" w:hAnsi="Arial"/>
          <w:sz w:val="22"/>
          <w:szCs w:val="22"/>
        </w:rPr>
        <w:t xml:space="preserve">Si se desea eliminar completamente la narrativa de hype especulativo, aquí tres estrategias alternativas para generar volumen y capitalizar el Vault:</w:t>
      </w:r>
    </w:p>
    <w:p>
      <w:pPr>
        <w:spacing w:before="120" w:after="120"/>
      </w:pPr>
      <w:r>
        <w:t xml:space="preserve"/>
      </w:r>
    </w:p>
    <w:p>
      <w:pPr>
        <w:pStyle w:val="ListParagraph"/>
        <w:numPr>
          <w:ilvl w:val="0"/>
          <w:numId w:val="2"/>
        </w:numPr>
        <w:spacing w:before="40" w:after="60"/>
      </w:pPr>
      <w:r>
        <w:rPr>
          <w:rFonts w:ascii="Arial" w:cs="Arial" w:eastAsia="Arial" w:hAnsi="Arial"/>
          <w:sz w:val="22"/>
          <w:szCs w:val="22"/>
        </w:rPr>
        <w:t xml:space="preserve">Estrategia 1 — Ecosistema de Gaming Primero: Lanzar Jungle Arena como producto principal. Los tokens se emiten como recompensas de juego educativo. El volumen lo genera la actividad del juego, no el FOMO de mercado. Referente: Axie Infinity fase 1.</w:t>
      </w:r>
    </w:p>
    <w:p>
      <w:pPr>
        <w:pStyle w:val="ListParagraph"/>
        <w:numPr>
          <w:ilvl w:val="0"/>
          <w:numId w:val="2"/>
        </w:numPr>
        <w:spacing w:before="40" w:after="60"/>
      </w:pPr>
      <w:r>
        <w:rPr>
          <w:rFonts w:ascii="Arial" w:cs="Arial" w:eastAsia="Arial" w:hAnsi="Arial"/>
          <w:sz w:val="22"/>
          <w:szCs w:val="22"/>
        </w:rPr>
        <w:t xml:space="preserve">Estrategia 2 — Early Adopter DAO: Venta privada institucional a fondos cripto de LATAM enfocados en inclusión financiera (Borderless Capital, Multicoin Capital). El token no es memecoin — es participación en el Vault fundacional con vesting.</w:t>
      </w:r>
    </w:p>
    <w:p>
      <w:pPr>
        <w:pStyle w:val="ListParagraph"/>
        <w:numPr>
          <w:ilvl w:val="0"/>
          <w:numId w:val="2"/>
        </w:numPr>
        <w:spacing w:before="40" w:after="60"/>
      </w:pPr>
      <w:r>
        <w:rPr>
          <w:rFonts w:ascii="Arial" w:cs="Arial" w:eastAsia="Arial" w:hAnsi="Arial"/>
          <w:sz w:val="22"/>
          <w:szCs w:val="22"/>
        </w:rPr>
        <w:t xml:space="preserve">Estrategia 3 — Híbrida (Recomendada): Fase 1 se presenta como 'Bootstrapping de Reserva Soberana' — el público cripto entiende la mecánica de deflación y la adopta. El pitch a inversores institucionales se hace por separado, nunca usando la palabra memecoin.</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Observación #2: El Problema Debe Ser Simple, Emocional y Comprobable</w:t>
      </w:r>
    </w:p>
    <w:p>
      <w:pPr>
        <w:spacing w:before="80" w:after="100"/>
        <w:jc w:val="both"/>
      </w:pPr>
      <w:r>
        <w:rPr>
          <w:rFonts w:ascii="Arial" w:cs="Arial" w:eastAsia="Arial" w:hAnsi="Arial"/>
          <w:sz w:val="22"/>
          <w:szCs w:val="22"/>
        </w:rPr>
        <w:t xml:space="preserve">Esta es la observación más importante para el fundraising. Actualmente los documentos tienen múltiples 'problemas' listados, lo que diluye el mensaje. Un inversor no técnico necesita entender el dolor en 30 segundos.</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El Problema Actual (Demasiado Complejo)</w:t>
      </w:r>
    </w:p>
    <w:p>
      <w:pPr>
        <w:spacing w:before="80" w:after="100"/>
        <w:jc w:val="both"/>
      </w:pPr>
      <w:r>
        <w:rPr>
          <w:rFonts w:ascii="Arial" w:cs="Arial" w:eastAsia="Arial" w:hAnsi="Arial"/>
          <w:sz w:val="22"/>
          <w:szCs w:val="22"/>
        </w:rPr>
        <w:t xml:space="preserve">Los documentos mencionan: reserva fraccionaria, PvP en memecoins, tiempo de retención de 100 segundos, CAC de neobancos, soberanía limitada por intermediarios... Todos son reales, pero juntos crean confusión.</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El Problema Reformulado: Un Solo Dolor, Claro y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D0021B" w:val="clear"/>
            <w:tcMar>
              <w:top w:type="dxa" w:w="0"/>
              <w:left w:type="dxa" w:w="0"/>
              <w:bottom w:type="dxa" w:w="0"/>
              <w:right w:type="dxa" w:w="0"/>
            </w:tcMar>
          </w:tcPr>
          <w:p>
            <w:r>
              <w:t xml:space="preserve"/>
            </w:r>
          </w:p>
        </w:tc>
        <w:tc>
          <w:tcPr>
            <w:tcW w:type="dxa" w:w="9160"/>
            <w:tcBorders>
              <w:top w:val="none"/>
              <w:left w:val="none"/>
              <w:bottom w:val="none"/>
              <w:right w:val="none"/>
            </w:tcBorders>
            <w:shd w:fill="FDECEA" w:val="clear"/>
            <w:tcMar>
              <w:top w:type="dxa" w:w="120"/>
              <w:left w:type="dxa" w:w="200"/>
              <w:bottom w:type="dxa" w:w="120"/>
              <w:right w:type="dxa" w:w="200"/>
            </w:tcMar>
          </w:tcPr>
          <w:p>
            <w:r>
              <w:rPr>
                <w:rFonts w:ascii="Arial" w:cs="Arial" w:eastAsia="Arial" w:hAnsi="Arial"/>
                <w:i/>
                <w:iCs/>
                <w:sz w:val="22"/>
                <w:szCs w:val="22"/>
              </w:rPr>
              <w:t xml:space="preserve">EL PROBLEMA DE LUKASH (en 30 segundos): En América Latina, 400 millones de personas tienen un teléfono inteligente, acceso a internet y ganas de construir patrimonio. Pero el sistema financiero les cobra el 13% solo por enviar dinero a su familia, les exige burocracia que no pueden cumplir para acceder a crédito, y cuando intentan invertir por su cuenta los algoritmos de TikTok los guían a apostar — no a invertir. El resultado: la persona promedio en LATAM paga más en comisiones de lo que genera en rendimientos. Eso es el Impuesto Invisible de la Exclusión Financiera. LUKASH lo elimina.</w:t>
            </w:r>
          </w:p>
        </w:tc>
      </w:tr>
    </w:tbl>
    <w:p>
      <w:pPr>
        <w:spacing w:before="120" w:after="120"/>
      </w:pPr>
      <w:r>
        <w:t xml:space="preserve"/>
      </w:r>
    </w:p>
    <w:p>
      <w:pPr>
        <w:pStyle w:val="Heading3"/>
        <w:spacing w:before="200" w:after="120"/>
      </w:pPr>
      <w:r>
        <w:rPr>
          <w:rFonts w:ascii="Arial" w:cs="Arial" w:eastAsia="Arial" w:hAnsi="Arial"/>
          <w:b/>
          <w:bCs/>
          <w:color w:val="C9A84C"/>
          <w:sz w:val="24"/>
          <w:szCs w:val="24"/>
        </w:rPr>
        <w:t xml:space="preserve">Datos Estadísticos que Refuerzan Este Problema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Dimensión del Dolor</w:t>
            </w:r>
          </w:p>
        </w:tc>
        <w:tc>
          <w:tcPr>
            <w:tcW w:type="dxa" w:w="4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Dato Verificable</w:t>
            </w:r>
          </w:p>
        </w:tc>
        <w:tc>
          <w:tcPr>
            <w:tcW w:type="dxa" w:w="23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Fuente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Costo de transferencias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13.40% de costo promedio en remesas hacia LATAM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Banco Mundial, 2024</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Exclusión de crédito</w:t>
            </w:r>
          </w:p>
        </w:tc>
        <w:tc>
          <w:tcPr>
            <w:tcW w:type="dxa" w:w="4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Solo 24% de adultos en LATAM accede a crédito formal</w:t>
            </w:r>
          </w:p>
        </w:tc>
        <w:tc>
          <w:tcPr>
            <w:tcW w:type="dxa" w:w="23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Global Findex 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Desorientación financiera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76% de Gen-Z busca consejos en TikTok; 70% de estafados son jóvenes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FTC 2024</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Volumen desperdiciado</w:t>
            </w:r>
          </w:p>
        </w:tc>
        <w:tc>
          <w:tcPr>
            <w:tcW w:type="dxa" w:w="4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$1.5 trillones en cripto en LATAM 2022-2025, mayoría sin respaldo real</w:t>
            </w:r>
          </w:p>
        </w:tc>
        <w:tc>
          <w:tcPr>
            <w:tcW w:type="dxa" w:w="23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Chainalysis 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Costo de bancos trad.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CAC de $150-350 USD por cliente vs. $3 de LUKASH proyectado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Mastercard Report 2024</w:t>
            </w:r>
          </w:p>
        </w:tc>
      </w:tr>
    </w:tbl>
    <w:p>
      <w:pPr>
        <w:spacing w:before="120" w:after="120"/>
      </w:pPr>
      <w:r>
        <w:t xml:space="preserve"/>
      </w:r>
    </w:p>
    <w:p>
      <w:pPr>
        <w:pStyle w:val="Heading3"/>
        <w:spacing w:before="200" w:after="120"/>
      </w:pPr>
      <w:r>
        <w:rPr>
          <w:rFonts w:ascii="Arial" w:cs="Arial" w:eastAsia="Arial" w:hAnsi="Arial"/>
          <w:b/>
          <w:bCs/>
          <w:color w:val="C9A84C"/>
          <w:sz w:val="24"/>
          <w:szCs w:val="24"/>
        </w:rPr>
        <w:t xml:space="preserve">La Narrativa Simplificada de 3 Capas</w:t>
      </w:r>
    </w:p>
    <w:p>
      <w:pPr>
        <w:spacing w:before="80" w:after="100"/>
        <w:jc w:val="both"/>
      </w:pPr>
      <w:r>
        <w:rPr>
          <w:rFonts w:ascii="Arial" w:cs="Arial" w:eastAsia="Arial" w:hAnsi="Arial"/>
          <w:sz w:val="22"/>
          <w:szCs w:val="22"/>
        </w:rPr>
        <w:t xml:space="preserve">Para que cualquier inversor —sin conocimiento técnico— entienda LUKASH en una conversación:</w:t>
      </w:r>
    </w:p>
    <w:p>
      <w:pPr>
        <w:pStyle w:val="ListParagraph"/>
        <w:numPr>
          <w:ilvl w:val="0"/>
          <w:numId w:val="2"/>
        </w:numPr>
        <w:spacing w:before="40" w:after="60"/>
      </w:pPr>
      <w:r>
        <w:rPr>
          <w:rFonts w:ascii="Arial" w:cs="Arial" w:eastAsia="Arial" w:hAnsi="Arial"/>
          <w:sz w:val="22"/>
          <w:szCs w:val="22"/>
        </w:rPr>
        <w:t xml:space="preserve">CAPA 1 (El Problema): 'Los bancos te cobran caro, te excluyen si eres joven o informal, y cuando buscas alternativas en crypto te estafan o te especulas solo.'</w:t>
      </w:r>
    </w:p>
    <w:p>
      <w:pPr>
        <w:pStyle w:val="ListParagraph"/>
        <w:numPr>
          <w:ilvl w:val="0"/>
          <w:numId w:val="2"/>
        </w:numPr>
        <w:spacing w:before="40" w:after="60"/>
      </w:pPr>
      <w:r>
        <w:rPr>
          <w:rFonts w:ascii="Arial" w:cs="Arial" w:eastAsia="Arial" w:hAnsi="Arial"/>
          <w:sz w:val="22"/>
          <w:szCs w:val="22"/>
        </w:rPr>
        <w:t xml:space="preserve">CAPA 2 (La Solución): 'LUKASH es un banco digital que funciona sobre blockchain, donde cada peso que depositas está respaldado por activos reales auditados. No es especulación — es soberanía.'</w:t>
      </w:r>
    </w:p>
    <w:p>
      <w:pPr>
        <w:pStyle w:val="ListParagraph"/>
        <w:numPr>
          <w:ilvl w:val="0"/>
          <w:numId w:val="2"/>
        </w:numPr>
        <w:spacing w:before="40" w:after="60"/>
      </w:pPr>
      <w:r>
        <w:rPr>
          <w:rFonts w:ascii="Arial" w:cs="Arial" w:eastAsia="Arial" w:hAnsi="Arial"/>
          <w:sz w:val="22"/>
          <w:szCs w:val="22"/>
        </w:rPr>
        <w:t xml:space="preserve">CAPA 3 (La Oportunidad): 'Somos la primera plataforma que captura el FOMO natural del ecosistema crypto latinoamericano y lo convierte en una reserva real. El inversionista obtiene rendimientos reales de un Vault transparente, no de una promesa.'</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Observación #3: La Conexión entre las 3 Fases — El Camino del Héroe Financiero</w:t>
      </w:r>
    </w:p>
    <w:p>
      <w:pPr>
        <w:spacing w:before="80" w:after="100"/>
        <w:jc w:val="both"/>
      </w:pPr>
      <w:r>
        <w:rPr>
          <w:rFonts w:ascii="Arial" w:cs="Arial" w:eastAsia="Arial" w:hAnsi="Arial"/>
          <w:sz w:val="22"/>
          <w:szCs w:val="22"/>
        </w:rPr>
        <w:t xml:space="preserve">Esta observación apunta al problema más estratégico del proyecto: la coherencia narrativa entre el juego, la wallet y el banco. La solución de Sebastián de usar el juego como 'escuela de finanzas' es correcta pero necesita articularse más claramente.</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El Problema de Coherencia Actual</w:t>
      </w:r>
    </w:p>
    <w:p>
      <w:pPr>
        <w:pStyle w:val="ListParagraph"/>
        <w:numPr>
          <w:ilvl w:val="0"/>
          <w:numId w:val="2"/>
        </w:numPr>
        <w:spacing w:before="40" w:after="60"/>
      </w:pPr>
      <w:r>
        <w:rPr>
          <w:rFonts w:ascii="Arial" w:cs="Arial" w:eastAsia="Arial" w:hAnsi="Arial"/>
          <w:sz w:val="22"/>
          <w:szCs w:val="22"/>
        </w:rPr>
        <w:t xml:space="preserve">Fase 1 parece un token especulativo de Solana</w:t>
      </w:r>
    </w:p>
    <w:p>
      <w:pPr>
        <w:pStyle w:val="ListParagraph"/>
        <w:numPr>
          <w:ilvl w:val="0"/>
          <w:numId w:val="2"/>
        </w:numPr>
        <w:spacing w:before="40" w:after="60"/>
      </w:pPr>
      <w:r>
        <w:rPr>
          <w:rFonts w:ascii="Arial" w:cs="Arial" w:eastAsia="Arial" w:hAnsi="Arial"/>
          <w:sz w:val="22"/>
          <w:szCs w:val="22"/>
        </w:rPr>
        <w:t xml:space="preserve">Fase 2 parece una app de comunidades con gaming</w:t>
      </w:r>
    </w:p>
    <w:p>
      <w:pPr>
        <w:pStyle w:val="ListParagraph"/>
        <w:numPr>
          <w:ilvl w:val="0"/>
          <w:numId w:val="2"/>
        </w:numPr>
        <w:spacing w:before="40" w:after="60"/>
      </w:pPr>
      <w:r>
        <w:rPr>
          <w:rFonts w:ascii="Arial" w:cs="Arial" w:eastAsia="Arial" w:hAnsi="Arial"/>
          <w:sz w:val="22"/>
          <w:szCs w:val="22"/>
        </w:rPr>
        <w:t xml:space="preserve">Fase 3 parece un neobanco</w:t>
      </w:r>
    </w:p>
    <w:p>
      <w:pPr>
        <w:pStyle w:val="ListParagraph"/>
        <w:numPr>
          <w:ilvl w:val="0"/>
          <w:numId w:val="2"/>
        </w:numPr>
        <w:spacing w:before="40" w:after="60"/>
      </w:pPr>
      <w:r>
        <w:rPr>
          <w:rFonts w:ascii="Arial" w:cs="Arial" w:eastAsia="Arial" w:hAnsi="Arial"/>
          <w:sz w:val="22"/>
          <w:szCs w:val="22"/>
        </w:rPr>
        <w:t xml:space="preserve">Un inversor escucha tres productos distintos, no un solo camino</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La Solución: El Funnel del Héroe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A2E5A" w:val="clear"/>
            <w:tcMar>
              <w:top w:type="dxa" w:w="0"/>
              <w:left w:type="dxa" w:w="0"/>
              <w:bottom w:type="dxa" w:w="0"/>
              <w:right w:type="dxa" w:w="0"/>
            </w:tcMar>
          </w:tcPr>
          <w:p>
            <w:r>
              <w:t xml:space="preserve"/>
            </w:r>
          </w:p>
        </w:tc>
        <w:tc>
          <w:tcPr>
            <w:tcW w:type="dxa" w:w="9160"/>
            <w:tcBorders>
              <w:top w:val="none"/>
              <w:left w:val="none"/>
              <w:bottom w:val="none"/>
              <w:right w:val="none"/>
            </w:tcBorders>
            <w:shd w:fill="E8F0FE" w:val="clear"/>
            <w:tcMar>
              <w:top w:type="dxa" w:w="120"/>
              <w:left w:type="dxa" w:w="200"/>
              <w:bottom w:type="dxa" w:w="120"/>
              <w:right w:type="dxa" w:w="200"/>
            </w:tcMar>
          </w:tcPr>
          <w:p>
            <w:r>
              <w:rPr>
                <w:rFonts w:ascii="Arial" w:cs="Arial" w:eastAsia="Arial" w:hAnsi="Arial"/>
                <w:i/>
                <w:iCs/>
                <w:sz w:val="22"/>
                <w:szCs w:val="22"/>
              </w:rPr>
              <w:t xml:space="preserve">NARRATIVA UNIFICADORA: LUKASH es el viaje de formación financiera más grande de América Latina. Empezamos por donde está la atención — el juego, las comunidades digitales, el FOMO — y guiamos a cada usuario a través de tres etapas de madurez financiera hasta convertirlos en ciudadanos financieros soberanos. No son tres productos: es un solo camino.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rPr>
          <w:tblHeader/>
        </w:trPr>
        <w:tc>
          <w:tcPr>
            <w:tcW w:type="dxa" w:w="1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2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Nombre del Viaje</w:t>
            </w:r>
          </w:p>
        </w:tc>
        <w:tc>
          <w:tcPr>
            <w:tcW w:type="dxa" w:w="3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Metáfora para el Inversor</w:t>
            </w:r>
          </w:p>
        </w:tc>
        <w:tc>
          <w:tcPr>
            <w:tcW w:type="dxa" w:w="19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KPI Clave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1 — Génesis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Despertar: 'Soy parte de algo grande'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 viralidad genera capital real, como las rondas de inversión pero con comunidad en vez de VCs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Volumen Motor A / Vault &gt; $25M</w:t>
            </w:r>
          </w:p>
        </w:tc>
      </w:tr>
      <w:tr>
        <w:tc>
          <w:tcPr>
            <w:tcW w:type="dxa" w:w="1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Fase 2 — App</w:t>
            </w:r>
          </w:p>
        </w:tc>
        <w:tc>
          <w:tcPr>
            <w:tcW w:type="dxa" w:w="26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El Entrenamiento: 'Aprendo jugando, uso mientras juego'</w:t>
            </w:r>
          </w:p>
        </w:tc>
        <w:tc>
          <w:tcPr>
            <w:tcW w:type="dxa" w:w="30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El juego es la rampa de onboarding educativo hacia herramientas financieras reales — como Duolingo pero para finanzas</w:t>
            </w:r>
          </w:p>
        </w:tc>
        <w:tc>
          <w:tcPr>
            <w:tcW w:type="dxa" w:w="19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MAU / Jaguar Score activo / Motor B activado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3 — Soberanía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 Maestría: 'Soy mi propio banco'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usuario graduado del juego ya tiene historial, confianza y habilidades para usar servicios bancarios completos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Volumen Motor C / pagos reales / RWA invertido</w:t>
            </w:r>
          </w:p>
        </w:tc>
      </w:tr>
    </w:tbl>
    <w:p>
      <w:pPr>
        <w:spacing w:before="120" w:after="120"/>
      </w:pPr>
      <w:r>
        <w:t xml:space="preserve"/>
      </w:r>
    </w:p>
    <w:p>
      <w:pPr>
        <w:pStyle w:val="Heading3"/>
        <w:spacing w:before="200" w:after="120"/>
      </w:pPr>
      <w:r>
        <w:rPr>
          <w:rFonts w:ascii="Arial" w:cs="Arial" w:eastAsia="Arial" w:hAnsi="Arial"/>
          <w:b/>
          <w:bCs/>
          <w:color w:val="C9A84C"/>
          <w:sz w:val="24"/>
          <w:szCs w:val="24"/>
        </w:rPr>
        <w:t xml:space="preserve">La Analogía que Lo Explica Todo</w:t>
      </w:r>
    </w:p>
    <w:p>
      <w:pPr>
        <w:spacing w:before="80" w:after="100"/>
        <w:jc w:val="both"/>
      </w:pPr>
      <w:r>
        <w:rPr>
          <w:rFonts w:ascii="Arial" w:cs="Arial" w:eastAsia="Arial" w:hAnsi="Arial"/>
          <w:sz w:val="22"/>
          <w:szCs w:val="22"/>
        </w:rPr>
        <w:t xml:space="preserve">Para un inversor no técnico, LUKASH se puede explicar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417505" w:val="clear"/>
            <w:tcMar>
              <w:top w:type="dxa" w:w="0"/>
              <w:left w:type="dxa" w:w="0"/>
              <w:bottom w:type="dxa" w:w="0"/>
              <w:right w:type="dxa" w:w="0"/>
            </w:tcMar>
          </w:tcPr>
          <w:p>
            <w:r>
              <w:t xml:space="preserve"/>
            </w:r>
          </w:p>
        </w:tc>
        <w:tc>
          <w:tcPr>
            <w:tcW w:type="dxa" w:w="9160"/>
            <w:tcBorders>
              <w:top w:val="none"/>
              <w:left w:val="none"/>
              <w:bottom w:val="none"/>
              <w:right w:val="none"/>
            </w:tcBorders>
            <w:shd w:fill="EAF7EA" w:val="clear"/>
            <w:tcMar>
              <w:top w:type="dxa" w:w="120"/>
              <w:left w:type="dxa" w:w="200"/>
              <w:bottom w:type="dxa" w:w="120"/>
              <w:right w:type="dxa" w:w="200"/>
            </w:tcMar>
          </w:tcPr>
          <w:p>
            <w:r>
              <w:rPr>
                <w:rFonts w:ascii="Arial" w:cs="Arial" w:eastAsia="Arial" w:hAnsi="Arial"/>
                <w:i/>
                <w:iCs/>
                <w:sz w:val="22"/>
                <w:szCs w:val="22"/>
              </w:rPr>
              <w:t xml:space="preserve">'¿Recuerda cómo Duolingo empezó siendo un juego de idiomas y terminó siendo una plataforma de aprendizaje seria con millones de usuarios pagos? LUKASH hace lo mismo con las finanzas. Empezamos con el juego porque es donde está la atención de los jóvenes latinoamericanos. Pero cada nivel del juego es una habilidad financiera real. Cada recompensa en el juego es capital real en su wallet. Y cuando el usuario termina el juego — tiene un banco.'</w:t>
            </w:r>
          </w:p>
        </w:tc>
      </w:tr>
    </w:tbl>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4. FORTALEZAS CONFIRMADAS DEL PROTOCOLO</w:t>
      </w:r>
    </w:p>
    <w:p>
      <w:pPr>
        <w:spacing w:before="80" w:after="100"/>
        <w:jc w:val="both"/>
      </w:pPr>
      <w:r>
        <w:rPr>
          <w:rFonts w:ascii="Arial" w:cs="Arial" w:eastAsia="Arial" w:hAnsi="Arial"/>
          <w:sz w:val="22"/>
          <w:szCs w:val="22"/>
        </w:rPr>
        <w:t xml:space="preserve">Antes de las mejoras, es crucial reconocer lo que ya funciona excepcionalmente bien en el protocolo:</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4.1 Arquitectura Económica: Sólida y Diferenciada</w:t>
      </w:r>
    </w:p>
    <w:p>
      <w:pPr>
        <w:pStyle w:val="ListParagraph"/>
        <w:numPr>
          <w:ilvl w:val="0"/>
          <w:numId w:val="2"/>
        </w:numPr>
        <w:spacing w:before="40" w:after="60"/>
      </w:pPr>
      <w:r>
        <w:rPr>
          <w:rFonts w:ascii="Arial" w:cs="Arial" w:eastAsia="Arial" w:hAnsi="Arial"/>
          <w:sz w:val="22"/>
          <w:szCs w:val="22"/>
        </w:rPr>
        <w:t xml:space="preserve">El Estándar KASH (PCM) es una innovación real: la combinación de deflación activa + reserva creciente es matemáticamente superior a cualquier memecoin o neobanco cripto existente</w:t>
      </w:r>
    </w:p>
    <w:p>
      <w:pPr>
        <w:pStyle w:val="ListParagraph"/>
        <w:numPr>
          <w:ilvl w:val="0"/>
          <w:numId w:val="2"/>
        </w:numPr>
        <w:spacing w:before="40" w:after="60"/>
      </w:pPr>
      <w:r>
        <w:rPr>
          <w:rFonts w:ascii="Arial" w:cs="Arial" w:eastAsia="Arial" w:hAnsi="Arial"/>
          <w:sz w:val="22"/>
          <w:szCs w:val="22"/>
        </w:rPr>
        <w:t xml:space="preserve">Las simulaciones Monte Carlo con 5,000 trayectorias y 0.0% de riesgo de ruina total son argumentos técnicos de primer nivel</w:t>
      </w:r>
    </w:p>
    <w:p>
      <w:pPr>
        <w:pStyle w:val="ListParagraph"/>
        <w:numPr>
          <w:ilvl w:val="0"/>
          <w:numId w:val="2"/>
        </w:numPr>
        <w:spacing w:before="40" w:after="60"/>
      </w:pPr>
      <w:r>
        <w:rPr>
          <w:rFonts w:ascii="Arial" w:cs="Arial" w:eastAsia="Arial" w:hAnsi="Arial"/>
          <w:sz w:val="22"/>
          <w:szCs w:val="22"/>
        </w:rPr>
        <w:t xml:space="preserve">Los 3 Motores Económicos crean fuentes de ingreso diversificadas que no dependen de un solo comportamiento del mercado</w:t>
      </w:r>
    </w:p>
    <w:p>
      <w:pPr>
        <w:pStyle w:val="ListParagraph"/>
        <w:numPr>
          <w:ilvl w:val="0"/>
          <w:numId w:val="2"/>
        </w:numPr>
        <w:spacing w:before="40" w:after="60"/>
      </w:pPr>
      <w:r>
        <w:rPr>
          <w:rFonts w:ascii="Arial" w:cs="Arial" w:eastAsia="Arial" w:hAnsi="Arial"/>
          <w:sz w:val="22"/>
          <w:szCs w:val="22"/>
        </w:rPr>
        <w:t xml:space="preserve">El módulo contra-cíclico LUKAI con +22-23% de ventaja en ciclos completos es genuinamente innovador</w:t>
      </w:r>
    </w:p>
    <w:p>
      <w:pPr>
        <w:pStyle w:val="ListParagraph"/>
        <w:numPr>
          <w:ilvl w:val="0"/>
          <w:numId w:val="2"/>
        </w:numPr>
        <w:spacing w:before="40" w:after="60"/>
      </w:pPr>
      <w:r>
        <w:rPr>
          <w:rFonts w:ascii="Arial" w:cs="Arial" w:eastAsia="Arial" w:hAnsi="Arial"/>
          <w:sz w:val="22"/>
          <w:szCs w:val="22"/>
        </w:rPr>
        <w:t xml:space="preserve">La composición del Vault v3.0 al 100% Solana-nativa elimina riesgos de bridge — esta es una decisión técnica excelente post-mercado-2022</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4.2 El Vault como Activo de Marketing</w:t>
      </w:r>
    </w:p>
    <w:p>
      <w:pPr>
        <w:pStyle w:val="ListParagraph"/>
        <w:numPr>
          <w:ilvl w:val="0"/>
          <w:numId w:val="2"/>
        </w:numPr>
        <w:spacing w:before="40" w:after="60"/>
      </w:pPr>
      <w:r>
        <w:rPr>
          <w:rFonts w:ascii="Arial" w:cs="Arial" w:eastAsia="Arial" w:hAnsi="Arial"/>
          <w:sz w:val="22"/>
          <w:szCs w:val="22"/>
        </w:rPr>
        <w:t xml:space="preserve">El dashboard público on-chain del Vault convierte la transparencia en herramienta de captación — ningún neobanco tradicional puede hacer esto</w:t>
      </w:r>
    </w:p>
    <w:p>
      <w:pPr>
        <w:pStyle w:val="ListParagraph"/>
        <w:numPr>
          <w:ilvl w:val="0"/>
          <w:numId w:val="2"/>
        </w:numPr>
        <w:spacing w:before="40" w:after="60"/>
      </w:pPr>
      <w:r>
        <w:rPr>
          <w:rFonts w:ascii="Arial" w:cs="Arial" w:eastAsia="Arial" w:hAnsi="Arial"/>
          <w:sz w:val="22"/>
          <w:szCs w:val="22"/>
        </w:rPr>
        <w:t xml:space="preserve">El progreso hacia $25M de K_min crea narrativa de comunidad genuina y verificable</w:t>
      </w:r>
    </w:p>
    <w:p>
      <w:pPr>
        <w:pStyle w:val="ListParagraph"/>
        <w:numPr>
          <w:ilvl w:val="0"/>
          <w:numId w:val="2"/>
        </w:numPr>
        <w:spacing w:before="40" w:after="60"/>
      </w:pPr>
      <w:r>
        <w:rPr>
          <w:rFonts w:ascii="Arial" w:cs="Arial" w:eastAsia="Arial" w:hAnsi="Arial"/>
          <w:sz w:val="22"/>
          <w:szCs w:val="22"/>
        </w:rPr>
        <w:t xml:space="preserve">El Precio KASH (P_th) como 'precio piso institucional' es un argumento de seguridad único en el mercado cripto</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4.3 Timing de Mercado: Perfecto</w:t>
      </w:r>
    </w:p>
    <w:p>
      <w:pPr>
        <w:spacing w:before="80" w:after="80"/>
      </w:pPr>
      <w:r>
        <w:rPr>
          <w:rFonts w:ascii="Arial" w:cs="Arial" w:eastAsia="Arial" w:hAnsi="Arial"/>
          <w:b/>
          <w:bCs/>
          <w:color w:val="1A2E5A"/>
          <w:sz w:val="22"/>
          <w:szCs w:val="22"/>
        </w:rPr>
        <w:t xml:space="preserve">LATAM crypto: </w:t>
      </w:r>
      <w:r>
        <w:rPr>
          <w:rFonts w:ascii="Arial" w:cs="Arial" w:eastAsia="Arial" w:hAnsi="Arial"/>
          <w:b/>
          <w:bCs/>
          <w:color w:val="D0021B"/>
          <w:sz w:val="22"/>
          <w:szCs w:val="22"/>
        </w:rPr>
        <w:t xml:space="preserve">creció 63% YoY (2024-2025) con $1.5 trillones en volumen — el mercado ya existe</w:t>
      </w:r>
      <w:r>
        <w:t xml:space="preserve"/>
      </w:r>
    </w:p>
    <w:p>
      <w:pPr>
        <w:spacing w:before="80" w:after="80"/>
      </w:pPr>
      <w:r>
        <w:rPr>
          <w:rFonts w:ascii="Arial" w:cs="Arial" w:eastAsia="Arial" w:hAnsi="Arial"/>
          <w:b/>
          <w:bCs/>
          <w:color w:val="1A2E5A"/>
          <w:sz w:val="22"/>
          <w:szCs w:val="22"/>
        </w:rPr>
        <w:t xml:space="preserve">Solana fue validada por Visa: </w:t>
      </w:r>
      <w:r>
        <w:rPr>
          <w:rFonts w:ascii="Arial" w:cs="Arial" w:eastAsia="Arial" w:hAnsi="Arial"/>
          <w:b/>
          <w:bCs/>
          <w:color w:val="D0021B"/>
          <w:sz w:val="22"/>
          <w:szCs w:val="22"/>
        </w:rPr>
        <w:t xml:space="preserve">para liquidación de stablecoins en 2025 — la infraestructura tiene credibilidad institucional</w:t>
      </w:r>
      <w:r>
        <w:t xml:space="preserve"/>
      </w:r>
    </w:p>
    <w:p>
      <w:pPr>
        <w:spacing w:before="80" w:after="80"/>
      </w:pPr>
      <w:r>
        <w:rPr>
          <w:rFonts w:ascii="Arial" w:cs="Arial" w:eastAsia="Arial" w:hAnsi="Arial"/>
          <w:b/>
          <w:bCs/>
          <w:color w:val="1A2E5A"/>
          <w:sz w:val="22"/>
          <w:szCs w:val="22"/>
        </w:rPr>
        <w:t xml:space="preserve">El mercado RWA: </w:t>
      </w:r>
      <w:r>
        <w:rPr>
          <w:rFonts w:ascii="Arial" w:cs="Arial" w:eastAsia="Arial" w:hAnsi="Arial"/>
          <w:b/>
          <w:bCs/>
          <w:color w:val="D0021B"/>
          <w:sz w:val="22"/>
          <w:szCs w:val="22"/>
        </w:rPr>
        <w:t xml:space="preserve">creció 260% en un semestre (2025) — el momento del neobanco cripto es ahora</w:t>
      </w:r>
      <w:r>
        <w:t xml:space="preserve"/>
      </w:r>
    </w:p>
    <w:p>
      <w:pPr>
        <w:spacing w:before="80" w:after="80"/>
      </w:pPr>
      <w:r>
        <w:rPr>
          <w:rFonts w:ascii="Arial" w:cs="Arial" w:eastAsia="Arial" w:hAnsi="Arial"/>
          <w:b/>
          <w:bCs/>
          <w:color w:val="1A2E5A"/>
          <w:sz w:val="22"/>
          <w:szCs w:val="22"/>
        </w:rPr>
        <w:t xml:space="preserve">MiCA en Europa: </w:t>
      </w:r>
      <w:r>
        <w:rPr>
          <w:rFonts w:ascii="Arial" w:cs="Arial" w:eastAsia="Arial" w:hAnsi="Arial"/>
          <w:b/>
          <w:bCs/>
          <w:color w:val="D0021B"/>
          <w:sz w:val="22"/>
          <w:szCs w:val="22"/>
        </w:rPr>
        <w:t xml:space="preserve">impulsa regulación similar en México, Colombia, Chile — LUKASH puede anticiparse</w:t>
      </w:r>
      <w:r>
        <w:t xml:space="preserve"/>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4.4 Modelo de Seguridad: Clase Institucional</w:t>
      </w:r>
    </w:p>
    <w:p>
      <w:pPr>
        <w:pStyle w:val="ListParagraph"/>
        <w:numPr>
          <w:ilvl w:val="0"/>
          <w:numId w:val="2"/>
        </w:numPr>
        <w:spacing w:before="40" w:after="60"/>
      </w:pPr>
      <w:r>
        <w:rPr>
          <w:rFonts w:ascii="Arial" w:cs="Arial" w:eastAsia="Arial" w:hAnsi="Arial"/>
          <w:sz w:val="22"/>
          <w:szCs w:val="22"/>
        </w:rPr>
        <w:t xml:space="preserve">Jaguar Shield con Circuit Breaker LP de 3 niveles sin confiscación — este balance protección/libertad es único</w:t>
      </w:r>
    </w:p>
    <w:p>
      <w:pPr>
        <w:pStyle w:val="ListParagraph"/>
        <w:numPr>
          <w:ilvl w:val="0"/>
          <w:numId w:val="2"/>
        </w:numPr>
        <w:spacing w:before="40" w:after="60"/>
      </w:pPr>
      <w:r>
        <w:rPr>
          <w:rFonts w:ascii="Arial" w:cs="Arial" w:eastAsia="Arial" w:hAnsi="Arial"/>
          <w:sz w:val="22"/>
          <w:szCs w:val="22"/>
        </w:rPr>
        <w:t xml:space="preserve">Tridente Multisig para acciones críticas — governance robusta sin depender de una sola persona</w:t>
      </w:r>
    </w:p>
    <w:p>
      <w:pPr>
        <w:pStyle w:val="ListParagraph"/>
        <w:numPr>
          <w:ilvl w:val="0"/>
          <w:numId w:val="2"/>
        </w:numPr>
        <w:spacing w:before="40" w:after="60"/>
      </w:pPr>
      <w:r>
        <w:rPr>
          <w:rFonts w:ascii="Arial" w:cs="Arial" w:eastAsia="Arial" w:hAnsi="Arial"/>
          <w:sz w:val="22"/>
          <w:szCs w:val="22"/>
        </w:rPr>
        <w:t xml:space="preserve">Auditorías pre-TGE (OtterSec/Halborn) + seguro anti-exploit — estándar institucional</w:t>
      </w:r>
    </w:p>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5. MEJORAS CONCRETAS RECOMENDADAS</w:t>
      </w:r>
    </w:p>
    <w:p>
      <w:pPr>
        <w:pStyle w:val="Heading2"/>
        <w:spacing w:before="280" w:after="160"/>
      </w:pPr>
      <w:r>
        <w:rPr>
          <w:rFonts w:ascii="Arial" w:cs="Arial" w:eastAsia="Arial" w:hAnsi="Arial"/>
          <w:b/>
          <w:bCs/>
          <w:color w:val="1A2E5A"/>
          <w:sz w:val="26"/>
          <w:szCs w:val="26"/>
        </w:rPr>
        <w:t xml:space="preserve">5.1 Reformulación del Pitch para Inversores</w:t>
      </w:r>
    </w:p>
    <w:p>
      <w:pPr>
        <w:spacing w:before="80" w:after="100"/>
        <w:jc w:val="both"/>
      </w:pPr>
      <w:r>
        <w:rPr>
          <w:rFonts w:ascii="Arial" w:cs="Arial" w:eastAsia="Arial" w:hAnsi="Arial"/>
          <w:sz w:val="22"/>
          <w:szCs w:val="22"/>
        </w:rPr>
        <w:t xml:space="preserve">El pitch actual asume que el inversor entiende DeFi, tokenomics y cripto. Necesitamos una versión para el inversor de impacto latinoamericano que no sabe de blockchain:</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El Nuevo Discurso de 2 Minutos para Inversores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A2E5A" w:val="clear"/>
            <w:tcMar>
              <w:top w:type="dxa" w:w="0"/>
              <w:left w:type="dxa" w:w="0"/>
              <w:bottom w:type="dxa" w:w="0"/>
              <w:right w:type="dxa" w:w="0"/>
            </w:tcMar>
          </w:tcPr>
          <w:p>
            <w:r>
              <w:t xml:space="preserve"/>
            </w:r>
          </w:p>
        </w:tc>
        <w:tc>
          <w:tcPr>
            <w:tcW w:type="dxa" w:w="9160"/>
            <w:tcBorders>
              <w:top w:val="none"/>
              <w:left w:val="none"/>
              <w:bottom w:val="none"/>
              <w:right w:val="none"/>
            </w:tcBorders>
            <w:shd w:fill="E8F0FE" w:val="clear"/>
            <w:tcMar>
              <w:top w:type="dxa" w:w="120"/>
              <w:left w:type="dxa" w:w="200"/>
              <w:bottom w:type="dxa" w:w="120"/>
              <w:right w:type="dxa" w:w="200"/>
            </w:tcMar>
          </w:tcPr>
          <w:p>
            <w:r>
              <w:rPr>
                <w:rFonts w:ascii="Arial" w:cs="Arial" w:eastAsia="Arial" w:hAnsi="Arial"/>
                <w:i/>
                <w:iCs/>
                <w:sz w:val="22"/>
                <w:szCs w:val="22"/>
              </w:rPr>
              <w:t xml:space="preserve">'LUKASH está construyendo el primer banco digital soberano para América Latina, construido sobre blockchain. El problema que resolvemos es concreto: 400 millones de personas en LATAM tienen teléfono inteligente pero pagan entre 13% y 400% en costos financieros. Los bancos los excluyen del crédito. Las plataformas cripto los estafan. El resultado: generación tras generación construye cero patrimonio. Nuestra solución tiene tres partes que trabajan juntas: primero, un juego financiero educativo donde el usuario aprende a manejar dinero mientras gana recompensas reales. Segundo, una wallet inteligente donde esas habilidades se aplican con capital real respaldado por activos duros. Tercero, un banco digital completo donde el usuario puede invertir, pagar, ahorrar y acceder a crédito — todo auditado públicamente, sin intermediarios, con costos 40 veces menores que la banca tradicional. El negocio: cobramos una comisión pequeña en cada transacción del ecosistema. Ese capital va a una reserva soberana que crece perpetuamente y que respalda el valor del sistema. Los inversores participan de esa reserva con rendimientos reales y verificables. No es especulación: es infraestructura financiera para el siglo XXI.'</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5.2 La Nueva Estructura de las 3 Fases: El Camino Consolidado</w:t>
      </w:r>
    </w:p>
    <w:p>
      <w:pPr>
        <w:spacing w:before="80" w:after="100"/>
        <w:jc w:val="both"/>
      </w:pPr>
      <w:r>
        <w:rPr>
          <w:rFonts w:ascii="Arial" w:cs="Arial" w:eastAsia="Arial" w:hAnsi="Arial"/>
          <w:sz w:val="22"/>
          <w:szCs w:val="22"/>
        </w:rPr>
        <w:t xml:space="preserve">La recomendación central es renombrar y reencuadrar las fases para que cuenten una historia coherente. Los mecanismos NO cambian — cambia la presentación: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360"/>
      </w:tblGrid>
      <w:tr>
        <w:trPr>
          <w:tblHeader/>
        </w:trPr>
        <w:tc>
          <w:tcPr>
            <w:tcW w:type="dxa" w:w="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Nombre Actual</w:t>
            </w:r>
          </w:p>
        </w:tc>
        <w:tc>
          <w:tcPr>
            <w:tcW w:type="dxa" w:w="2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Nombre Propuesto</w:t>
            </w:r>
          </w:p>
        </w:tc>
        <w:tc>
          <w:tcPr>
            <w:tcW w:type="dxa" w:w="33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Cambio Narrativo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Viralidad Memética y Génesis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GÉNESIS: Bootstrapping de Reserva Comunitaria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 'hype viral' a 'fundación colectiva del banco'. El Motor A es el mecanismo por el que la comunidad capitaliza su propio banco soberano.</w:t>
            </w:r>
          </w:p>
        </w:tc>
      </w:tr>
      <w:tr>
        <w:tc>
          <w:tcPr>
            <w:tcW w:type="dxa" w:w="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Fase 2</w:t>
            </w:r>
          </w:p>
        </w:tc>
        <w:tc>
          <w:tcPr>
            <w:tcW w:type="dxa" w:w="24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LUKASH App y Economía de Manadas</w:t>
            </w:r>
          </w:p>
        </w:tc>
        <w:tc>
          <w:tcPr>
            <w:tcW w:type="dxa" w:w="2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Fase ESCUELA: La Universidad Financiera Más Grande de LATAM</w:t>
            </w:r>
          </w:p>
        </w:tc>
        <w:tc>
          <w:tcPr>
            <w:tcW w:type="dxa" w:w="33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El juego no es entretenimiento — es onboarding educativo. Jungle Arena es la rampa de acceso a la wallet. Las Manadas son comunidades de práctica financiera.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Banca Digital Descentralizada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SOBERANÍA: El Primer Banco Sin Dueño de LATAM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 culminación del viaje. El usuario que pasó por el juego y la wallet ahora tiene un banco completo, con RWA, pagos globales y crédito comunitario.</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5.3 Mejoras Específicas al Producto para Mayor Coherencia</w:t>
      </w:r>
    </w:p>
    <w:p>
      <w:pPr>
        <w:pStyle w:val="Heading3"/>
        <w:spacing w:before="200" w:after="120"/>
      </w:pPr>
      <w:r>
        <w:rPr>
          <w:rFonts w:ascii="Arial" w:cs="Arial" w:eastAsia="Arial" w:hAnsi="Arial"/>
          <w:b/>
          <w:bCs/>
          <w:color w:val="C9A84C"/>
          <w:sz w:val="24"/>
          <w:szCs w:val="24"/>
        </w:rPr>
        <w:t xml:space="preserve">En la Fase 1 (Motor A + Vault)</w:t>
      </w:r>
    </w:p>
    <w:p>
      <w:pPr>
        <w:pStyle w:val="ListParagraph"/>
        <w:numPr>
          <w:ilvl w:val="0"/>
          <w:numId w:val="2"/>
        </w:numPr>
        <w:spacing w:before="40" w:after="60"/>
      </w:pPr>
      <w:r>
        <w:rPr>
          <w:rFonts w:ascii="Arial" w:cs="Arial" w:eastAsia="Arial" w:hAnsi="Arial"/>
          <w:sz w:val="22"/>
          <w:szCs w:val="22"/>
        </w:rPr>
        <w:t xml:space="preserve">Renombrar el TGE como 'Fundación de la Reserva': Los primeros compradores no son 'inversores en memecoin' — son 'fundadores del banco'</w:t>
      </w:r>
    </w:p>
    <w:p>
      <w:pPr>
        <w:pStyle w:val="ListParagraph"/>
        <w:numPr>
          <w:ilvl w:val="0"/>
          <w:numId w:val="2"/>
        </w:numPr>
        <w:spacing w:before="40" w:after="60"/>
      </w:pPr>
      <w:r>
        <w:rPr>
          <w:rFonts w:ascii="Arial" w:cs="Arial" w:eastAsia="Arial" w:hAnsi="Arial"/>
          <w:sz w:val="22"/>
          <w:szCs w:val="22"/>
        </w:rPr>
        <w:t xml:space="preserve">El Dashboard del Vault debe ser prominente desde el día 1: cada transacción acerca a la comunidad a su banco propio</w:t>
      </w:r>
    </w:p>
    <w:p>
      <w:pPr>
        <w:pStyle w:val="ListParagraph"/>
        <w:numPr>
          <w:ilvl w:val="0"/>
          <w:numId w:val="2"/>
        </w:numPr>
        <w:spacing w:before="40" w:after="60"/>
      </w:pPr>
      <w:r>
        <w:rPr>
          <w:rFonts w:ascii="Arial" w:cs="Arial" w:eastAsia="Arial" w:hAnsi="Arial"/>
          <w:sz w:val="22"/>
          <w:szCs w:val="22"/>
        </w:rPr>
        <w:t xml:space="preserve">El lenguaje de 'Jaguar Score' y 'Manadas' debe introducirse desde la Fase 1 aunque el juego llegue en Fase 2 — crear anticipación</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En la Fase 2 (App + Jungle Arena)</w:t>
      </w:r>
    </w:p>
    <w:p>
      <w:pPr>
        <w:pStyle w:val="ListParagraph"/>
        <w:numPr>
          <w:ilvl w:val="0"/>
          <w:numId w:val="2"/>
        </w:numPr>
        <w:spacing w:before="40" w:after="60"/>
      </w:pPr>
      <w:r>
        <w:rPr>
          <w:rFonts w:ascii="Arial" w:cs="Arial" w:eastAsia="Arial" w:hAnsi="Arial"/>
          <w:sz w:val="22"/>
          <w:szCs w:val="22"/>
        </w:rPr>
        <w:t xml:space="preserve">Jungle Arena debe diseñarse explícitamente como 'simulador financiero gamificado' — cada misión enseña una habilidad de la wallet real</w:t>
      </w:r>
    </w:p>
    <w:p>
      <w:pPr>
        <w:pStyle w:val="ListParagraph"/>
        <w:numPr>
          <w:ilvl w:val="0"/>
          <w:numId w:val="2"/>
        </w:numPr>
        <w:spacing w:before="40" w:after="60"/>
      </w:pPr>
      <w:r>
        <w:rPr>
          <w:rFonts w:ascii="Arial" w:cs="Arial" w:eastAsia="Arial" w:hAnsi="Arial"/>
          <w:sz w:val="22"/>
          <w:szCs w:val="22"/>
        </w:rPr>
        <w:t xml:space="preserve">El Jaguar Score debe ser el puente visible entre el juego y los servicios financieros: más score = mejores tasas = más acceso</w:t>
      </w:r>
    </w:p>
    <w:p>
      <w:pPr>
        <w:pStyle w:val="ListParagraph"/>
        <w:numPr>
          <w:ilvl w:val="0"/>
          <w:numId w:val="2"/>
        </w:numPr>
        <w:spacing w:before="40" w:after="60"/>
      </w:pPr>
      <w:r>
        <w:rPr>
          <w:rFonts w:ascii="Arial" w:cs="Arial" w:eastAsia="Arial" w:hAnsi="Arial"/>
          <w:sz w:val="22"/>
          <w:szCs w:val="22"/>
        </w:rPr>
        <w:t xml:space="preserve">LUKAI debe presentarse desde el inicio como 'tu asesor financiero personal de IA', no como chatbot — la diferencia es psicológica pero importante</w:t>
      </w:r>
    </w:p>
    <w:p>
      <w:pPr>
        <w:pStyle w:val="ListParagraph"/>
        <w:numPr>
          <w:ilvl w:val="0"/>
          <w:numId w:val="2"/>
        </w:numPr>
        <w:spacing w:before="40" w:after="60"/>
      </w:pPr>
      <w:r>
        <w:rPr>
          <w:rFonts w:ascii="Arial" w:cs="Arial" w:eastAsia="Arial" w:hAnsi="Arial"/>
          <w:sz w:val="22"/>
          <w:szCs w:val="22"/>
        </w:rPr>
        <w:t xml:space="preserve">Las Manadas deben tener un 'caso de uso de entrada simple': Manda dinero a tu familia con 0% de comisión en tu primera transacción — gancho inmediato</w:t>
      </w:r>
    </w:p>
    <w:p>
      <w:pPr>
        <w:spacing w:before="120" w:after="120"/>
      </w:pPr>
      <w:r>
        <w:t xml:space="preserve"/>
      </w:r>
    </w:p>
    <w:p>
      <w:pPr>
        <w:pStyle w:val="Heading3"/>
        <w:spacing w:before="200" w:after="120"/>
      </w:pPr>
      <w:r>
        <w:rPr>
          <w:rFonts w:ascii="Arial" w:cs="Arial" w:eastAsia="Arial" w:hAnsi="Arial"/>
          <w:b/>
          <w:bCs/>
          <w:color w:val="C9A84C"/>
          <w:sz w:val="24"/>
          <w:szCs w:val="24"/>
        </w:rPr>
        <w:t xml:space="preserve">En la Fase 3 (Motor C + RWA)</w:t>
      </w:r>
    </w:p>
    <w:p>
      <w:pPr>
        <w:pStyle w:val="ListParagraph"/>
        <w:numPr>
          <w:ilvl w:val="0"/>
          <w:numId w:val="2"/>
        </w:numPr>
        <w:spacing w:before="40" w:after="60"/>
      </w:pPr>
      <w:r>
        <w:rPr>
          <w:rFonts w:ascii="Arial" w:cs="Arial" w:eastAsia="Arial" w:hAnsi="Arial"/>
          <w:sz w:val="22"/>
          <w:szCs w:val="22"/>
        </w:rPr>
        <w:t xml:space="preserve">La propuesta de 'primer banco sin dueño de LATAM' es poderosa — úsese como tagline de la Fase 3</w:t>
      </w:r>
    </w:p>
    <w:p>
      <w:pPr>
        <w:pStyle w:val="ListParagraph"/>
        <w:numPr>
          <w:ilvl w:val="0"/>
          <w:numId w:val="2"/>
        </w:numPr>
        <w:spacing w:before="40" w:after="60"/>
      </w:pPr>
      <w:r>
        <w:rPr>
          <w:rFonts w:ascii="Arial" w:cs="Arial" w:eastAsia="Arial" w:hAnsi="Arial"/>
          <w:sz w:val="22"/>
          <w:szCs w:val="22"/>
        </w:rPr>
        <w:t xml:space="preserve">El acceso a RWA a través de Manadas (bienes raíces fraccionados, T-bills tokenizados) debe comunicarse desde la Fase 1 como el destino final del viaje</w:t>
      </w:r>
    </w:p>
    <w:p>
      <w:pPr>
        <w:pStyle w:val="ListParagraph"/>
        <w:numPr>
          <w:ilvl w:val="0"/>
          <w:numId w:val="2"/>
        </w:numPr>
        <w:spacing w:before="40" w:after="60"/>
      </w:pPr>
      <w:r>
        <w:rPr>
          <w:rFonts w:ascii="Arial" w:cs="Arial" w:eastAsia="Arial" w:hAnsi="Arial"/>
          <w:sz w:val="22"/>
          <w:szCs w:val="22"/>
        </w:rPr>
        <w:t xml:space="preserve">Jaguar Pay debe posicionarse como 'la tarjeta sin banco' — uso del lenguaje del usuario, no técnico</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5.4 Ajustes a la Estrategia de Inversión</w:t>
      </w:r>
    </w:p>
    <w:p>
      <w:pPr>
        <w:pStyle w:val="Heading3"/>
        <w:spacing w:before="200" w:after="120"/>
      </w:pPr>
      <w:r>
        <w:rPr>
          <w:rFonts w:ascii="Arial" w:cs="Arial" w:eastAsia="Arial" w:hAnsi="Arial"/>
          <w:b/>
          <w:bCs/>
          <w:color w:val="C9A84C"/>
          <w:sz w:val="24"/>
          <w:szCs w:val="24"/>
        </w:rPr>
        <w:t xml:space="preserve">Segmentación de Inversores por Tipo de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rPr>
          <w:tblHeader/>
        </w:trPr>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Tipo de Inversor</w:t>
            </w:r>
          </w:p>
        </w:tc>
        <w:tc>
          <w:tcPr>
            <w:tcW w:type="dxa" w:w="2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Argumento Principal</w:t>
            </w:r>
          </w:p>
        </w:tc>
        <w:tc>
          <w:tcPr>
            <w:tcW w:type="dxa" w:w="25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Métricas Relevantes</w:t>
            </w:r>
          </w:p>
        </w:tc>
        <w:tc>
          <w:tcPr>
            <w:tcW w:type="dxa" w:w="18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Lo que NO se menciona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Fondo cripto (sabe DeFi)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Protocolo con tokenomics deflacionarias + Vault de reserva creciente. Superior a BONK/WIF en utilidad. Timing perfecto.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Motor A volume, Vault growth, P95 projections, Monte Carlo</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Nada — puede entender todo</w:t>
            </w:r>
          </w:p>
        </w:tc>
      </w:tr>
      <w:tr>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Angel/VC de impacto en LATAM</w:t>
            </w:r>
          </w:p>
        </w:tc>
        <w:tc>
          <w:tcPr>
            <w:tcW w:type="dxa" w:w="2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Plataforma fintech con CAC de $3 y LTV perpetuo gracias a gamificación. Mercado de 400M personas sub-servidas.</w:t>
            </w:r>
          </w:p>
        </w:tc>
        <w:tc>
          <w:tcPr>
            <w:tcW w:type="dxa" w:w="25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CAC $3 vs $15 neobancos, LTV, MAU proyectado, retención gamificada</w:t>
            </w:r>
          </w:p>
        </w:tc>
        <w:tc>
          <w:tcPr>
            <w:tcW w:type="dxa" w:w="18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Monte Carlo, tokenomics técnico, motor B2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Family office o inversor no técnico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Banco digital nuevo para LATAM con reserva real auditada. Rendimientos reales de un vault verificable. No especulación.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Vault USD value, yield real, Jaguar Lock vesting, distribución de fees en USDC</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Todo el lenguaje cripto/DeFi</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5.5 Recomendaciones sobre Regulación y Estructura Legal</w:t>
      </w:r>
    </w:p>
    <w:p>
      <w:pPr>
        <w:pStyle w:val="ListParagraph"/>
        <w:numPr>
          <w:ilvl w:val="0"/>
          <w:numId w:val="2"/>
        </w:numPr>
        <w:spacing w:before="40" w:after="60"/>
      </w:pPr>
      <w:r>
        <w:rPr>
          <w:rFonts w:ascii="Arial" w:cs="Arial" w:eastAsia="Arial" w:hAnsi="Arial"/>
          <w:sz w:val="22"/>
          <w:szCs w:val="22"/>
        </w:rPr>
        <w:t xml:space="preserve">El Salvador como hub es correcto y bien fundamentado. Ejecutar esto como primera prioridad — sin estructura legal clara no hay fundraising institucional</w:t>
      </w:r>
    </w:p>
    <w:p>
      <w:pPr>
        <w:pStyle w:val="ListParagraph"/>
        <w:numPr>
          <w:ilvl w:val="0"/>
          <w:numId w:val="2"/>
        </w:numPr>
        <w:spacing w:before="40" w:after="60"/>
      </w:pPr>
      <w:r>
        <w:rPr>
          <w:rFonts w:ascii="Arial" w:cs="Arial" w:eastAsia="Arial" w:hAnsi="Arial"/>
          <w:sz w:val="22"/>
          <w:szCs w:val="22"/>
        </w:rPr>
        <w:t xml:space="preserve">Para Colombia: Aprovechar el Sandbox de la SFC para piloto de tokenización RWA — esto da credibilidad regulatoria enorme a costo bajo</w:t>
      </w:r>
    </w:p>
    <w:p>
      <w:pPr>
        <w:pStyle w:val="ListParagraph"/>
        <w:numPr>
          <w:ilvl w:val="0"/>
          <w:numId w:val="2"/>
        </w:numPr>
        <w:spacing w:before="40" w:after="60"/>
      </w:pPr>
      <w:r>
        <w:rPr>
          <w:rFonts w:ascii="Arial" w:cs="Arial" w:eastAsia="Arial" w:hAnsi="Arial"/>
          <w:sz w:val="22"/>
          <w:szCs w:val="22"/>
        </w:rPr>
        <w:t xml:space="preserve">Para México: La Ley Fintech 2024 (licencias para exchanges y wallets) abre la puerta a operar formalmente. Un piloto en México + Colombia en Fase 2 crea historia regulatoria sólida</w:t>
      </w:r>
    </w:p>
    <w:p>
      <w:pPr>
        <w:pStyle w:val="ListParagraph"/>
        <w:numPr>
          <w:ilvl w:val="0"/>
          <w:numId w:val="2"/>
        </w:numPr>
        <w:spacing w:before="40" w:after="60"/>
      </w:pPr>
      <w:r>
        <w:rPr>
          <w:rFonts w:ascii="Arial" w:cs="Arial" w:eastAsia="Arial" w:hAnsi="Arial"/>
          <w:sz w:val="22"/>
          <w:szCs w:val="22"/>
        </w:rPr>
        <w:t xml:space="preserve">MiCA de la UE debe mencionarse explícitamente en el pitch: 'Diseñamos LUKASH compatible con MiCA desde el origen' — esto vale oro ante inversores europeos</w:t>
      </w:r>
    </w:p>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6. LA NUEVA NARRATIVA DEL PROYECTO</w:t>
      </w:r>
    </w:p>
    <w:p>
      <w:pPr>
        <w:pStyle w:val="Heading2"/>
        <w:spacing w:before="280" w:after="160"/>
      </w:pPr>
      <w:r>
        <w:rPr>
          <w:rFonts w:ascii="Arial" w:cs="Arial" w:eastAsia="Arial" w:hAnsi="Arial"/>
          <w:b/>
          <w:bCs/>
          <w:color w:val="1A2E5A"/>
          <w:sz w:val="26"/>
          <w:szCs w:val="26"/>
        </w:rPr>
        <w:t xml:space="preserve">6.1 El Tagline Definitivo</w:t>
      </w:r>
    </w:p>
    <w:p>
      <w:pPr>
        <w:spacing w:before="200" w:after="200"/>
        <w:jc w:val="center"/>
      </w:pPr>
      <w:r>
        <w:rPr>
          <w:rFonts w:ascii="Arial" w:cs="Arial" w:eastAsia="Arial" w:hAnsi="Arial"/>
          <w:b/>
          <w:bCs/>
          <w:i/>
          <w:iCs/>
          <w:color w:val="1A2E5A"/>
          <w:sz w:val="36"/>
          <w:szCs w:val="36"/>
        </w:rPr>
        <w:t xml:space="preserve">"El primer banco que tus hijos van a querer usar"</w:t>
      </w:r>
    </w:p>
    <w:p>
      <w:pPr>
        <w:spacing w:before="80" w:after="100"/>
        <w:jc w:val="both"/>
      </w:pPr>
      <w:r>
        <w:rPr>
          <w:rFonts w:ascii="Arial" w:cs="Arial" w:eastAsia="Arial" w:hAnsi="Arial"/>
          <w:sz w:val="22"/>
          <w:szCs w:val="22"/>
        </w:rPr>
        <w:t xml:space="preserve">Este tagline funciona porque: (1) es simple y no técnico, (2) captura la esencia del juego + wallet + banco, (3) apela emocionalmente a dos audiencias: jóvenes que quieren libertad financiera, y adultos que quieren darles una mejor herramienta a sus hijos.</w:t>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6.2 El One-Pager del Problema-Solución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343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El Dolor Actual</w:t>
            </w:r>
          </w:p>
        </w:tc>
        <w:tc>
          <w:tcPr>
            <w:tcW w:type="dxa" w:w="343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La Solución LUKASH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 el joven de 18 años en Medellín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Quiere invertir, pero los bancos le piden trabajo estable que no tiene. En TikTok le dicen que compre memecoins y pierde $200.</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Jungle Arena le enseña a invertir jugando. Su Jaguar Score construye su historial financiero. Con $10 puede entrar al ecosistema y empezar a construir patrimonio real.</w:t>
            </w:r>
          </w:p>
        </w:tc>
      </w:tr>
      <w:tr>
        <w:tc>
          <w:tcPr>
            <w:tcW w:type="dxa" w:w="25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Para el trabajador informal en Ciudad de México</w:t>
            </w:r>
          </w:p>
        </w:tc>
        <w:tc>
          <w:tcPr>
            <w:tcW w:type="dxa" w:w="343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Manda $500/mes a su familia en Oaxaca. El banco se queda con $67 en comisiones. Tarda 3 días.</w:t>
            </w:r>
          </w:p>
        </w:tc>
        <w:tc>
          <w:tcPr>
            <w:tcW w:type="dxa" w:w="343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Con LUKASH Motor C, manda $500 y paga $2.50. Llega en segundos. El historial de transacciones le construye acceso a crédito.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 el inversionista ángel en Bogotá</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Quiere exposición al ecosistema cripto LATAM pero no confía en proyectos especulativos sin respaldo.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Vault KASH Core es la reserva: BTC nativo, SOL, USDC. Auditado on-chain. Rendimiento real. Su inversión entra al KASH Sociedad con Jaguar Lock y flujo de caja desde mes 13.</w:t>
            </w:r>
          </w:p>
        </w:tc>
      </w:tr>
      <w:tr>
        <w:tc>
          <w:tcPr>
            <w:tcW w:type="dxa" w:w="25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Para el fondo de capital de riesgo</w:t>
            </w:r>
          </w:p>
        </w:tc>
        <w:tc>
          <w:tcPr>
            <w:tcW w:type="dxa" w:w="343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LATAM fintech es competitivo y los CACs suben. Los neobancos no son rentables.</w:t>
            </w:r>
          </w:p>
        </w:tc>
        <w:tc>
          <w:tcPr>
            <w:tcW w:type="dxa" w:w="343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CAC de $3 vs $15 industria. Gamificación retiene 5x más barato que adquisición nueva. Vault de $37M proyectado en 5 años como activo colateral del negocio.</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6.3 La Cronología Narrativa para el Pitch</w:t>
      </w:r>
    </w:p>
    <w:p>
      <w:pPr>
        <w:spacing w:before="80" w:after="100"/>
        <w:jc w:val="both"/>
      </w:pPr>
      <w:r>
        <w:rPr>
          <w:rFonts w:ascii="Arial" w:cs="Arial" w:eastAsia="Arial" w:hAnsi="Arial"/>
          <w:sz w:val="22"/>
          <w:szCs w:val="22"/>
        </w:rPr>
        <w:t xml:space="preserve">Para una presentación de 10 minutos a inversores no técnicos, la cronología recomendada es:</w:t>
      </w:r>
    </w:p>
    <w:p>
      <w:pPr>
        <w:spacing w:before="120" w:after="120"/>
      </w:pPr>
      <w:r>
        <w:t xml:space="preserve"/>
      </w:r>
    </w:p>
    <w:p>
      <w:pPr>
        <w:pStyle w:val="ListParagraph"/>
        <w:numPr>
          <w:ilvl w:val="0"/>
          <w:numId w:val="2"/>
        </w:numPr>
        <w:spacing w:before="40" w:after="60"/>
      </w:pPr>
      <w:r>
        <w:rPr>
          <w:rFonts w:ascii="Arial" w:cs="Arial" w:eastAsia="Arial" w:hAnsi="Arial"/>
          <w:sz w:val="22"/>
          <w:szCs w:val="22"/>
        </w:rPr>
        <w:t xml:space="preserve">Minuto 1-2: El Problema — El Impuesto Invisible. Estadísticas de exclusión, costo de remesas, pérdidas de jóvenes por mala asesoría</w:t>
      </w:r>
    </w:p>
    <w:p>
      <w:pPr>
        <w:pStyle w:val="ListParagraph"/>
        <w:numPr>
          <w:ilvl w:val="0"/>
          <w:numId w:val="2"/>
        </w:numPr>
        <w:spacing w:before="40" w:after="60"/>
      </w:pPr>
      <w:r>
        <w:rPr>
          <w:rFonts w:ascii="Arial" w:cs="Arial" w:eastAsia="Arial" w:hAnsi="Arial"/>
          <w:sz w:val="22"/>
          <w:szCs w:val="22"/>
        </w:rPr>
        <w:t xml:space="preserve">Minuto 3-4: La Oportunidad — $1.5 trillones ya se mueven en cripto en LATAM. 63% de crecimiento YoY. El mercado pidió a gritos una solución seria.</w:t>
      </w:r>
    </w:p>
    <w:p>
      <w:pPr>
        <w:pStyle w:val="ListParagraph"/>
        <w:numPr>
          <w:ilvl w:val="0"/>
          <w:numId w:val="2"/>
        </w:numPr>
        <w:spacing w:before="40" w:after="60"/>
      </w:pPr>
      <w:r>
        <w:rPr>
          <w:rFonts w:ascii="Arial" w:cs="Arial" w:eastAsia="Arial" w:hAnsi="Arial"/>
          <w:sz w:val="22"/>
          <w:szCs w:val="22"/>
        </w:rPr>
        <w:t xml:space="preserve">Minuto 5-6: La Solución — El Camino del Héroe Financiero. Juego → Wallet → Banco. Cada paso tiene un objetivo concreto.</w:t>
      </w:r>
    </w:p>
    <w:p>
      <w:pPr>
        <w:pStyle w:val="ListParagraph"/>
        <w:numPr>
          <w:ilvl w:val="0"/>
          <w:numId w:val="2"/>
        </w:numPr>
        <w:spacing w:before="40" w:after="60"/>
      </w:pPr>
      <w:r>
        <w:rPr>
          <w:rFonts w:ascii="Arial" w:cs="Arial" w:eastAsia="Arial" w:hAnsi="Arial"/>
          <w:sz w:val="22"/>
          <w:szCs w:val="22"/>
        </w:rPr>
        <w:t xml:space="preserve">Minuto 7-8: El Negocio — Los 3 Motores. Cómo el volumen se convierte en reserva. El Vault como activo tangible. Proyecciones conservadoras con Monte Carlo.</w:t>
      </w:r>
    </w:p>
    <w:p>
      <w:pPr>
        <w:pStyle w:val="ListParagraph"/>
        <w:numPr>
          <w:ilvl w:val="0"/>
          <w:numId w:val="2"/>
        </w:numPr>
        <w:spacing w:before="40" w:after="60"/>
      </w:pPr>
      <w:r>
        <w:rPr>
          <w:rFonts w:ascii="Arial" w:cs="Arial" w:eastAsia="Arial" w:hAnsi="Arial"/>
          <w:sz w:val="22"/>
          <w:szCs w:val="22"/>
        </w:rPr>
        <w:t xml:space="preserve">Minuto 9: Riesgos y Mitigaciones — 0% riesgo de ruina simulado. Jaguar Shield. Auditorías. Regulación El Salvador.</w:t>
      </w:r>
    </w:p>
    <w:p>
      <w:pPr>
        <w:pStyle w:val="ListParagraph"/>
        <w:numPr>
          <w:ilvl w:val="0"/>
          <w:numId w:val="2"/>
        </w:numPr>
        <w:spacing w:before="40" w:after="60"/>
      </w:pPr>
      <w:r>
        <w:rPr>
          <w:rFonts w:ascii="Arial" w:cs="Arial" w:eastAsia="Arial" w:hAnsi="Arial"/>
          <w:sz w:val="22"/>
          <w:szCs w:val="22"/>
        </w:rPr>
        <w:t xml:space="preserve">Minuto 10: El Llamado a la Acción — Estructura de inversión, Jaguar Lock, rendimientos proyectados desde mes 13.</w:t>
      </w:r>
    </w:p>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7. HOJA DE RUTA REFORMULADA</w:t>
      </w:r>
    </w:p>
    <w:p>
      <w:pPr>
        <w:pStyle w:val="Heading2"/>
        <w:spacing w:before="280" w:after="160"/>
      </w:pPr>
      <w:r>
        <w:rPr>
          <w:rFonts w:ascii="Arial" w:cs="Arial" w:eastAsia="Arial" w:hAnsi="Arial"/>
          <w:b/>
          <w:bCs/>
          <w:color w:val="1A2E5A"/>
          <w:sz w:val="26"/>
          <w:szCs w:val="26"/>
        </w:rPr>
        <w:t xml:space="preserve">7.1 Acciones Inmediatas (Próximas 8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200"/>
        <w:gridCol w:w="2060"/>
      </w:tblGrid>
      <w:tr>
        <w:trPr>
          <w:tblHeader/>
        </w:trPr>
        <w:tc>
          <w:tcPr>
            <w:tcW w:type="dxa" w:w="9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4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0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Reescribir el Executive Summary y el pitch deck con nueva narrativa (sin 'memecoin', con 'banco soberano')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Fundador + Estratega</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Pitch deck versión inversor no técnico listo</w:t>
            </w:r>
          </w:p>
        </w:tc>
      </w:tr>
      <w:tr>
        <w:tc>
          <w:tcPr>
            <w:tcW w:type="dxa" w:w="9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2-3</w:t>
            </w:r>
          </w:p>
        </w:tc>
        <w:tc>
          <w:tcPr>
            <w:tcW w:type="dxa" w:w="4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Constituir entidad legal en El Salvador (CNAD). Capital: $2,000 + tarifa $5,475</w:t>
            </w:r>
          </w:p>
        </w:tc>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Legal</w:t>
            </w:r>
          </w:p>
        </w:tc>
        <w:tc>
          <w:tcPr>
            <w:tcW w:type="dxa" w:w="20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Estructura jurídica — prerequisito para fundraising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Diseñar y publicar la landing page del Vault Dashboard — muestra la reserva en tiempo real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 + Diseño</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Herramienta de credibilidad antes del TGE</w:t>
            </w:r>
          </w:p>
        </w:tc>
      </w:tr>
      <w:tr>
        <w:tc>
          <w:tcPr>
            <w:tcW w:type="dxa" w:w="9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4-6</w:t>
            </w:r>
          </w:p>
        </w:tc>
        <w:tc>
          <w:tcPr>
            <w:tcW w:type="dxa" w:w="4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Contactar 3 KOLs de finanzas personales en LATAM (no cripto-KOLs) — audiencia de 100K+ enfocada en educación financiera</w:t>
            </w:r>
          </w:p>
        </w:tc>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Marketing</w:t>
            </w:r>
          </w:p>
        </w:tc>
        <w:tc>
          <w:tcPr>
            <w:tcW w:type="dxa" w:w="20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Posicionamiento como fintech educativa, no como crypto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Auditoría de contratos con OtterSec/Halborn — contratar y comenzar proceso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Técnico</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Credibilidad técnica para pitch institucional</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7.2 Métricas de Éxito para Cada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400"/>
        <w:gridCol w:w="1160"/>
      </w:tblGrid>
      <w:tr>
        <w:trPr>
          <w:tblHeader/>
        </w:trPr>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Métrica Norte</w:t>
            </w:r>
          </w:p>
        </w:tc>
        <w:tc>
          <w:tcPr>
            <w:tcW w:type="dxa" w:w="2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Métrica de Alerta</w:t>
            </w:r>
          </w:p>
        </w:tc>
        <w:tc>
          <w:tcPr>
            <w:tcW w:type="dxa" w:w="11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Tiempo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Génesis (Fase 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Vault Core &gt; $25M (K_min activado)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Vault &lt; $5M a día 90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Meses 1-6</w:t>
            </w:r>
          </w:p>
        </w:tc>
      </w:tr>
      <w:tr>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App/Escuela (Fase 2)</w:t>
            </w:r>
          </w:p>
        </w:tc>
        <w:tc>
          <w:tcPr>
            <w:tcW w:type="dxa" w:w="36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10,000 MAU + 1,000 usuarios con Jaguar Score &gt; 50</w:t>
            </w:r>
          </w:p>
        </w:tc>
        <w:tc>
          <w:tcPr>
            <w:tcW w:type="dxa" w:w="24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MAU &lt; 500 en mes 3</w:t>
            </w:r>
          </w:p>
        </w:tc>
        <w:tc>
          <w:tcPr>
            <w:tcW w:type="dxa" w:w="11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Meses 6-18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Soberanía (Fase 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Motor C activo + $1M en volumen mensual de pagos reales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Motor C con volumen &lt; $100K a mes 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 18+</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7.3 Los 4 Frentes Estratégicos — Validación</w:t>
      </w:r>
    </w:p>
    <w:p>
      <w:pPr>
        <w:spacing w:before="80" w:after="100"/>
        <w:jc w:val="both"/>
      </w:pPr>
      <w:r>
        <w:rPr>
          <w:rFonts w:ascii="Arial" w:cs="Arial" w:eastAsia="Arial" w:hAnsi="Arial"/>
          <w:sz w:val="22"/>
          <w:szCs w:val="22"/>
        </w:rPr>
        <w:t xml:space="preserve">Los 4 Frentes del Protocolo v3.0 (Market Makers, KOLs, Dashboard, Integraciones Técnicas) son correctos. Solo se ajusta el orden de prioridad:</w:t>
      </w:r>
    </w:p>
    <w:p>
      <w:pPr>
        <w:spacing w:before="120" w:after="120"/>
      </w:pPr>
      <w:r>
        <w:t xml:space="preserve"/>
      </w:r>
    </w:p>
    <w:p>
      <w:pPr>
        <w:pStyle w:val="ListParagraph"/>
        <w:numPr>
          <w:ilvl w:val="0"/>
          <w:numId w:val="2"/>
        </w:numPr>
        <w:spacing w:before="40" w:after="60"/>
      </w:pPr>
      <w:r>
        <w:rPr>
          <w:rFonts w:ascii="Arial" w:cs="Arial" w:eastAsia="Arial" w:hAnsi="Arial"/>
          <w:sz w:val="22"/>
          <w:szCs w:val="22"/>
        </w:rPr>
        <w:t xml:space="preserve">Prioridad 1 — Dashboard del Vault: Debe estar en producción ANTES del TGE. Es la herramienta de confianza más poderosa del protocolo y no requiere inversión significativa.</w:t>
      </w:r>
    </w:p>
    <w:p>
      <w:pPr>
        <w:pStyle w:val="ListParagraph"/>
        <w:numPr>
          <w:ilvl w:val="0"/>
          <w:numId w:val="2"/>
        </w:numPr>
        <w:spacing w:before="40" w:after="60"/>
      </w:pPr>
      <w:r>
        <w:rPr>
          <w:rFonts w:ascii="Arial" w:cs="Arial" w:eastAsia="Arial" w:hAnsi="Arial"/>
          <w:sz w:val="22"/>
          <w:szCs w:val="22"/>
        </w:rPr>
        <w:t xml:space="preserve">Prioridad 2 — Estructura Legal: Sin esto, ningún Market Maker institucional va a operar y ningún KOL de calidad va a comprometer su reputación.</w:t>
      </w:r>
    </w:p>
    <w:p>
      <w:pPr>
        <w:pStyle w:val="ListParagraph"/>
        <w:numPr>
          <w:ilvl w:val="0"/>
          <w:numId w:val="2"/>
        </w:numPr>
        <w:spacing w:before="40" w:after="60"/>
      </w:pPr>
      <w:r>
        <w:rPr>
          <w:rFonts w:ascii="Arial" w:cs="Arial" w:eastAsia="Arial" w:hAnsi="Arial"/>
          <w:sz w:val="22"/>
          <w:szCs w:val="22"/>
        </w:rPr>
        <w:t xml:space="preserve">Prioridad 3 — KOLs de Educación Financiera (no de crypto): El cambio es sutil pero crucial. Queremos KOLs que hablen a jóvenes latinoamericanos sobre finanzas personales — no a traders de Solana.</w:t>
      </w:r>
    </w:p>
    <w:p>
      <w:pPr>
        <w:pStyle w:val="ListParagraph"/>
        <w:numPr>
          <w:ilvl w:val="0"/>
          <w:numId w:val="2"/>
        </w:numPr>
        <w:spacing w:before="40" w:after="60"/>
      </w:pPr>
      <w:r>
        <w:rPr>
          <w:rFonts w:ascii="Arial" w:cs="Arial" w:eastAsia="Arial" w:hAnsi="Arial"/>
          <w:sz w:val="22"/>
          <w:szCs w:val="22"/>
        </w:rPr>
        <w:t xml:space="preserve">Prioridad 4 — Market Makers: Correctamente descritos en el protocolo. Solo ejecutar según el plan.</w:t>
      </w:r>
    </w:p>
    <w:p>
      <w:pPr>
        <w:pBdr>
          <w:bottom w:val="single" w:color="C9A84C" w:sz="4" w:space="1"/>
        </w:pBdr>
        <w:spacing w:before="200" w:after="200"/>
      </w:pPr>
      <w:r>
        <w:t xml:space="preserve"/>
      </w:r>
    </w:p>
    <w:p>
      <w:r>
        <w:br w:type="page"/>
      </w:r>
    </w:p>
    <w:p>
      <w:pPr>
        <w:pStyle w:val="Heading1"/>
        <w:spacing w:before="360" w:after="200"/>
      </w:pPr>
      <w:r>
        <w:rPr>
          <w:rFonts w:ascii="Arial" w:cs="Arial" w:eastAsia="Arial" w:hAnsi="Arial"/>
          <w:b/>
          <w:bCs/>
          <w:color w:val="1A2E5A"/>
          <w:sz w:val="32"/>
          <w:szCs w:val="32"/>
        </w:rPr>
        <w:t xml:space="preserve">8. VEREDICTO FINAL Y RECOMENDACIONES CLAVE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417505" w:val="clear"/>
            <w:tcMar>
              <w:top w:type="dxa" w:w="0"/>
              <w:left w:type="dxa" w:w="0"/>
              <w:bottom w:type="dxa" w:w="0"/>
              <w:right w:type="dxa" w:w="0"/>
            </w:tcMar>
          </w:tcPr>
          <w:p>
            <w:r>
              <w:t xml:space="preserve"/>
            </w:r>
          </w:p>
        </w:tc>
        <w:tc>
          <w:tcPr>
            <w:tcW w:type="dxa" w:w="9160"/>
            <w:tcBorders>
              <w:top w:val="none"/>
              <w:left w:val="none"/>
              <w:bottom w:val="none"/>
              <w:right w:val="none"/>
            </w:tcBorders>
            <w:shd w:fill="EAF7EA" w:val="clear"/>
            <w:tcMar>
              <w:top w:type="dxa" w:w="120"/>
              <w:left w:type="dxa" w:w="200"/>
              <w:bottom w:type="dxa" w:w="120"/>
              <w:right w:type="dxa" w:w="200"/>
            </w:tcMar>
          </w:tcPr>
          <w:p>
            <w:r>
              <w:rPr>
                <w:rFonts w:ascii="Arial" w:cs="Arial" w:eastAsia="Arial" w:hAnsi="Arial"/>
                <w:i/>
                <w:iCs/>
                <w:sz w:val="22"/>
                <w:szCs w:val="22"/>
              </w:rPr>
              <w:t xml:space="preserve">VEREDICTO: LUKASH tiene la arquitectura técnica y económica para ser el proyecto fintech más importante de LATAM en los próximos 5 años. El protocolo en sí es sólido. El problema es exclusivamente de narrativa y posicionamiento — y eso se puede resolver en semanas, no en meses.</w:t>
            </w:r>
          </w:p>
        </w:tc>
      </w:tr>
    </w:tbl>
    <w:p>
      <w:pPr>
        <w:spacing w:before="120" w:after="120"/>
      </w:pPr>
      <w:r>
        <w:t xml:space="preserve"/>
      </w:r>
    </w:p>
    <w:p>
      <w:pPr>
        <w:pStyle w:val="Heading2"/>
        <w:spacing w:before="280" w:after="160"/>
      </w:pPr>
      <w:r>
        <w:rPr>
          <w:rFonts w:ascii="Arial" w:cs="Arial" w:eastAsia="Arial" w:hAnsi="Arial"/>
          <w:b/>
          <w:bCs/>
          <w:color w:val="1A2E5A"/>
          <w:sz w:val="26"/>
          <w:szCs w:val="26"/>
        </w:rPr>
        <w:t xml:space="preserve">Las 7 Recomendaciones No Negociables</w:t>
      </w:r>
    </w:p>
    <w:p>
      <w:pPr>
        <w:spacing w:before="120" w:after="120"/>
      </w:pPr>
      <w:r>
        <w:t xml:space="preserve"/>
      </w:r>
    </w:p>
    <w:p>
      <w:pPr>
        <w:pStyle w:val="ListParagraph"/>
        <w:numPr>
          <w:ilvl w:val="0"/>
          <w:numId w:val="3"/>
        </w:numPr>
        <w:spacing w:before="60" w:after="60"/>
      </w:pPr>
      <w:r>
        <w:rPr>
          <w:rFonts w:ascii="Arial" w:cs="Arial" w:eastAsia="Arial" w:hAnsi="Arial"/>
          <w:b/>
          <w:bCs/>
          <w:sz w:val="22"/>
          <w:szCs w:val="22"/>
        </w:rPr>
        <w:t xml:space="preserve">ELIMINAR la palabra 'memecoin' de toda comunicación externa. </w:t>
      </w:r>
      <w:r>
        <w:rPr>
          <w:rFonts w:ascii="Arial" w:cs="Arial" w:eastAsia="Arial" w:hAnsi="Arial"/>
          <w:sz w:val="22"/>
          <w:szCs w:val="22"/>
        </w:rPr>
        <w:t xml:space="preserve">Sustituir por 'bootstrapping de reserva comunitaria' o 'génesis de capital'. El mecanismo no cambia — el nombre sí.</w:t>
      </w:r>
    </w:p>
    <w:p>
      <w:pPr>
        <w:pStyle w:val="ListParagraph"/>
        <w:numPr>
          <w:ilvl w:val="0"/>
          <w:numId w:val="3"/>
        </w:numPr>
        <w:spacing w:before="60" w:after="60"/>
      </w:pPr>
      <w:r>
        <w:rPr>
          <w:rFonts w:ascii="Arial" w:cs="Arial" w:eastAsia="Arial" w:hAnsi="Arial"/>
          <w:b/>
          <w:bCs/>
          <w:sz w:val="22"/>
          <w:szCs w:val="22"/>
        </w:rPr>
        <w:t xml:space="preserve">DEFINIR un solo problema central. </w:t>
      </w:r>
      <w:r>
        <w:rPr>
          <w:rFonts w:ascii="Arial" w:cs="Arial" w:eastAsia="Arial" w:hAnsi="Arial"/>
          <w:sz w:val="22"/>
          <w:szCs w:val="22"/>
        </w:rPr>
        <w:t xml:space="preserve">El 'Impuesto Invisible de la Exclusión Financiera' — simple, emocional, verificable. Todos los demás dolores son dimensiones de este.</w:t>
      </w:r>
    </w:p>
    <w:p>
      <w:pPr>
        <w:pStyle w:val="ListParagraph"/>
        <w:numPr>
          <w:ilvl w:val="0"/>
          <w:numId w:val="3"/>
        </w:numPr>
        <w:spacing w:before="60" w:after="60"/>
      </w:pPr>
      <w:r>
        <w:rPr>
          <w:rFonts w:ascii="Arial" w:cs="Arial" w:eastAsia="Arial" w:hAnsi="Arial"/>
          <w:b/>
          <w:bCs/>
          <w:sz w:val="22"/>
          <w:szCs w:val="22"/>
        </w:rPr>
        <w:t xml:space="preserve">ARTICULAR el Funnel del Héroe Financiero. </w:t>
      </w:r>
      <w:r>
        <w:rPr>
          <w:rFonts w:ascii="Arial" w:cs="Arial" w:eastAsia="Arial" w:hAnsi="Arial"/>
          <w:sz w:val="22"/>
          <w:szCs w:val="22"/>
        </w:rPr>
        <w:t xml:space="preserve">Juego = Escuela. Wallet = Práctica. Banco = Soberanía. Tres etapas de un mismo camino, no tres productos.</w:t>
      </w:r>
    </w:p>
    <w:p>
      <w:pPr>
        <w:pStyle w:val="ListParagraph"/>
        <w:numPr>
          <w:ilvl w:val="0"/>
          <w:numId w:val="3"/>
        </w:numPr>
        <w:spacing w:before="60" w:after="60"/>
      </w:pPr>
      <w:r>
        <w:rPr>
          <w:rFonts w:ascii="Arial" w:cs="Arial" w:eastAsia="Arial" w:hAnsi="Arial"/>
          <w:b/>
          <w:bCs/>
          <w:sz w:val="22"/>
          <w:szCs w:val="22"/>
        </w:rPr>
        <w:t xml:space="preserve">CREAR tres versiones del pitch. </w:t>
      </w:r>
      <w:r>
        <w:rPr>
          <w:rFonts w:ascii="Arial" w:cs="Arial" w:eastAsia="Arial" w:hAnsi="Arial"/>
          <w:sz w:val="22"/>
          <w:szCs w:val="22"/>
        </w:rPr>
        <w:t xml:space="preserve">Una para inversores cripto (técnica), una para VCs de fintech (negocio), una para inversores de impacto (social). El producto es el mismo — el idioma cambia.</w:t>
      </w:r>
    </w:p>
    <w:p>
      <w:pPr>
        <w:pStyle w:val="ListParagraph"/>
        <w:numPr>
          <w:ilvl w:val="0"/>
          <w:numId w:val="3"/>
        </w:numPr>
        <w:spacing w:before="60" w:after="60"/>
      </w:pPr>
      <w:r>
        <w:rPr>
          <w:rFonts w:ascii="Arial" w:cs="Arial" w:eastAsia="Arial" w:hAnsi="Arial"/>
          <w:b/>
          <w:bCs/>
          <w:sz w:val="22"/>
          <w:szCs w:val="22"/>
        </w:rPr>
        <w:t xml:space="preserve">PUBLICAR el Dashboard del Vault antes del TGE. </w:t>
      </w:r>
      <w:r>
        <w:rPr>
          <w:rFonts w:ascii="Arial" w:cs="Arial" w:eastAsia="Arial" w:hAnsi="Arial"/>
          <w:sz w:val="22"/>
          <w:szCs w:val="22"/>
        </w:rPr>
        <w:t xml:space="preserve">Esta es la herramienta de confianza más poderosa y diferenciadora del proyecto. Debe existir antes de cualquier inversión.</w:t>
      </w:r>
    </w:p>
    <w:p>
      <w:pPr>
        <w:pStyle w:val="ListParagraph"/>
        <w:numPr>
          <w:ilvl w:val="0"/>
          <w:numId w:val="3"/>
        </w:numPr>
        <w:spacing w:before="60" w:after="60"/>
      </w:pPr>
      <w:r>
        <w:rPr>
          <w:rFonts w:ascii="Arial" w:cs="Arial" w:eastAsia="Arial" w:hAnsi="Arial"/>
          <w:b/>
          <w:bCs/>
          <w:sz w:val="22"/>
          <w:szCs w:val="22"/>
        </w:rPr>
        <w:t xml:space="preserve">INICIAR la constitución legal en El Salvador INMEDIATAMENTE. </w:t>
      </w:r>
      <w:r>
        <w:rPr>
          <w:rFonts w:ascii="Arial" w:cs="Arial" w:eastAsia="Arial" w:hAnsi="Arial"/>
          <w:sz w:val="22"/>
          <w:szCs w:val="22"/>
        </w:rPr>
        <w:t xml:space="preserve">Con $7,475 USD total se tiene la estructura jurídica. Es el prerequisito para cualquier conversación seria con inversores institucionales.</w:t>
      </w:r>
    </w:p>
    <w:p>
      <w:pPr>
        <w:pStyle w:val="ListParagraph"/>
        <w:numPr>
          <w:ilvl w:val="0"/>
          <w:numId w:val="3"/>
        </w:numPr>
        <w:spacing w:before="60" w:after="60"/>
      </w:pPr>
      <w:r>
        <w:rPr>
          <w:rFonts w:ascii="Arial" w:cs="Arial" w:eastAsia="Arial" w:hAnsi="Arial"/>
          <w:b/>
          <w:bCs/>
          <w:sz w:val="22"/>
          <w:szCs w:val="22"/>
        </w:rPr>
        <w:t xml:space="preserve">CONTRATAR KOLs de educación financiera, no de crypto. </w:t>
      </w:r>
      <w:r>
        <w:rPr>
          <w:rFonts w:ascii="Arial" w:cs="Arial" w:eastAsia="Arial" w:hAnsi="Arial"/>
          <w:sz w:val="22"/>
          <w:szCs w:val="22"/>
        </w:rPr>
        <w:t xml:space="preserve">El público objetivo de LUKASH no es el trader de Solana — es el joven latinoamericano que quiere su primer producto de inversión. Los KOLs deben hablar ese idioma.</w:t>
      </w:r>
    </w:p>
    <w:p>
      <w:pPr>
        <w:spacing w:before="120" w:after="120"/>
      </w:pPr>
      <w:r>
        <w:t xml:space="preserve"/>
      </w:r>
    </w:p>
    <w:p>
      <w:pPr>
        <w:spacing w:before="120" w:after="120"/>
      </w:pPr>
      <w:r>
        <w:t xml:space="preserve"/>
      </w:r>
    </w:p>
    <w:p>
      <w:pPr>
        <w:pStyle w:val="Heading2"/>
        <w:spacing w:before="280" w:after="160"/>
      </w:pPr>
      <w:r>
        <w:rPr>
          <w:rFonts w:ascii="Arial" w:cs="Arial" w:eastAsia="Arial" w:hAnsi="Arial"/>
          <w:b/>
          <w:bCs/>
          <w:color w:val="1A2E5A"/>
          <w:sz w:val="26"/>
          <w:szCs w:val="26"/>
        </w:rPr>
        <w:t xml:space="preserve">Evaluación de Potencial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760"/>
        <w:gridCol w:w="2200"/>
        <w:gridCol w:w="1600"/>
      </w:tblGrid>
      <w:tr>
        <w:trPr>
          <w:tblHeader/>
        </w:trPr>
        <w:tc>
          <w:tcPr>
            <w:tcW w:type="dxa" w:w="2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28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17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Vault a 5 años</w:t>
            </w:r>
          </w:p>
        </w:tc>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Valoración Proyecto</w:t>
            </w:r>
          </w:p>
        </w:tc>
        <w:tc>
          <w:tcPr>
            <w:tcW w:type="dxa" w:w="1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(sin cambios de narrativa)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 ejecuta el protocolo sin reformular el pitch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$37.2M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~$500M-$1B Market Cap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r>
      <w:tr>
        <w:tc>
          <w:tcPr>
            <w:tcW w:type="dxa" w:w="20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Optimizado (con estas mejoras)</w:t>
            </w:r>
          </w:p>
        </w:tc>
        <w:tc>
          <w:tcPr>
            <w:tcW w:type="dxa" w:w="28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Nueva narrativa + 3 versiones de pitch + KOLs fintech</w:t>
            </w:r>
          </w:p>
        </w:tc>
        <w:tc>
          <w:tcPr>
            <w:tcW w:type="dxa" w:w="176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$52-65M</w:t>
            </w:r>
          </w:p>
        </w:tc>
        <w:tc>
          <w:tcPr>
            <w:tcW w:type="dxa" w:w="22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~$2B-$5B Market Cap</w:t>
            </w:r>
          </w:p>
        </w:tc>
        <w:tc>
          <w:tcPr>
            <w:tcW w:type="dxa" w:w="1600"/>
            <w:tcBorders>
              <w:top w:val="single" w:color="CCCCCC" w:sz="1"/>
              <w:left w:val="single" w:color="CCCCCC" w:sz="1"/>
              <w:bottom w:val="single" w:color="CCCCCC" w:sz="1"/>
              <w:right w:val="single" w:color="CCCCCC" w:sz="1"/>
            </w:tcBorders>
            <w:shd w:fill="F4F7FC" w:val="clear"/>
            <w:tcMar>
              <w:top w:type="dxa" w:w="60"/>
              <w:left w:type="dxa" w:w="120"/>
              <w:bottom w:type="dxa" w:w="6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 + Mejoras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Narrativa reformulada + mercado alcista + 4 Frentes activos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$156-267M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~$10B-$15B Market Cap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 (si ciclo acompaña)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A2E5A" w:val="clear"/>
            <w:tcMar>
              <w:top w:type="dxa" w:w="0"/>
              <w:left w:type="dxa" w:w="0"/>
              <w:bottom w:type="dxa" w:w="0"/>
              <w:right w:type="dxa" w:w="0"/>
            </w:tcMar>
          </w:tcPr>
          <w:p>
            <w:r>
              <w:t xml:space="preserve"/>
            </w:r>
          </w:p>
        </w:tc>
        <w:tc>
          <w:tcPr>
            <w:tcW w:type="dxa" w:w="9160"/>
            <w:tcBorders>
              <w:top w:val="none"/>
              <w:left w:val="none"/>
              <w:bottom w:val="none"/>
              <w:right w:val="none"/>
            </w:tcBorders>
            <w:shd w:fill="E8F0FE" w:val="clear"/>
            <w:tcMar>
              <w:top w:type="dxa" w:w="120"/>
              <w:left w:type="dxa" w:w="200"/>
              <w:bottom w:type="dxa" w:w="120"/>
              <w:right w:type="dxa" w:w="200"/>
            </w:tcMar>
          </w:tcPr>
          <w:p>
            <w:r>
              <w:rPr>
                <w:rFonts w:ascii="Arial" w:cs="Arial" w:eastAsia="Arial" w:hAnsi="Arial"/>
                <w:i/>
                <w:iCs/>
                <w:sz w:val="22"/>
                <w:szCs w:val="22"/>
              </w:rPr>
              <w:t xml:space="preserve">CONCLUSIÓN FINAL: Este proyecto tiene el raro potencial de ser, simultáneamente, el próximo gran token de Solana Y la infraestructura fintech más importante para LATAM. Pero solo si se cuenta la segunda historia. La primera historia (memecoin) limita el mercado a traders. La segunda historia (banco soberano para 400 millones de personas) no tiene límite. La arquitectura técnica ya existe. La oportunidad de mercado está validada. Solo falta elegir qué historia contar — y contarla con datos.</w:t>
            </w:r>
          </w:p>
        </w:tc>
      </w:tr>
    </w:tbl>
    <w:p>
      <w:pPr>
        <w:spacing w:before="120" w:after="120"/>
      </w:pPr>
      <w:r>
        <w:t xml:space="preserve"/>
      </w:r>
    </w:p>
    <w:p>
      <w:pPr>
        <w:spacing w:before="300" w:after="200"/>
        <w:jc w:val="center"/>
      </w:pPr>
      <w:r>
        <w:rPr>
          <w:rFonts w:ascii="Arial" w:cs="Arial" w:eastAsia="Arial" w:hAnsi="Arial"/>
          <w:i/>
          <w:iCs/>
          <w:color w:val="888888"/>
          <w:sz w:val="20"/>
          <w:szCs w:val="20"/>
        </w:rPr>
        <w:t xml:space="preserve">— Análisis completado. Marzo 2026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right"/>
    </w:pPr>
    <w:r>
      <w:rPr>
        <w:rFonts w:ascii="Arial" w:cs="Arial" w:eastAsia="Arial" w:hAnsi="Arial"/>
        <w:color w:val="888888"/>
        <w:sz w:val="16"/>
        <w:szCs w:val="16"/>
      </w:rPr>
      <w:t xml:space="preserve">Página </w:t>
    </w:r>
    <w:r>
      <w:rPr>
        <w:rFonts w:ascii="Arial" w:cs="Arial" w:eastAsia="Arial" w:hAnsi="Arial"/>
        <w:color w:val="1A2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5A" w:sz="4" w:space="1"/>
      </w:pBdr>
    </w:pPr>
    <w:r>
      <w:rPr>
        <w:rFonts w:ascii="Arial" w:cs="Arial" w:eastAsia="Arial" w:hAnsi="Arial"/>
        <w:color w:val="888888"/>
        <w:sz w:val="16"/>
        <w:szCs w:val="16"/>
      </w:rPr>
      <w:t xml:space="preserve">LUKASH PROTOCOL — ANÁLISIS ESTRATÉGICO INTEGRAL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E5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2E5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2026-03-03T03:33:28.899Z</dcterms:created>
  <dcterms:modified xsi:type="dcterms:W3CDTF">2026-03-03T03:33:28.900Z</dcterms:modified>
</cp:coreProperties>
</file>

<file path=docProps/custom.xml><?xml version="1.0" encoding="utf-8"?>
<Properties xmlns="http://schemas.openxmlformats.org/officeDocument/2006/custom-properties" xmlns:vt="http://schemas.openxmlformats.org/officeDocument/2006/docPropsVTypes"/>
</file>