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40"/>
        <w:jc w:val="center"/>
      </w:pPr>
      <w:r>
        <w:rPr>
          <w:rFonts w:ascii="Arial" w:cs="Arial" w:eastAsia="Arial" w:hAnsi="Arial"/>
          <w:b/>
          <w:bCs/>
          <w:color w:val="1A1A2E"/>
          <w:sz w:val="44"/>
          <w:szCs w:val="44"/>
        </w:rPr>
        <w:t xml:space="preserve">EVALUACIÓN INSTITUCIONAL</w:t>
      </w:r>
    </w:p>
    <w:p>
      <w:pPr>
        <w:spacing w:before="0" w:after="40"/>
        <w:jc w:val="center"/>
      </w:pPr>
      <w:r>
        <w:rPr>
          <w:rFonts w:ascii="Arial" w:cs="Arial" w:eastAsia="Arial" w:hAnsi="Arial"/>
          <w:b/>
          <w:bCs/>
          <w:color w:val="C0392B"/>
          <w:sz w:val="52"/>
          <w:szCs w:val="52"/>
        </w:rPr>
        <w:t xml:space="preserve">PROTOCOLO LUKASH v3.0</w:t>
      </w:r>
    </w:p>
    <w:p>
      <w:pPr>
        <w:spacing w:before="80" w:after="0"/>
      </w:pPr>
      <w:r>
        <w:t xml:space="preserve"/>
      </w:r>
    </w:p>
    <w:p>
      <w:pPr>
        <w:pBdr>
          <w:bottom w:val="single" w:color="C0392B" w:sz="8" w:space="2"/>
        </w:pBdr>
        <w:jc w:val="center"/>
      </w:pPr>
      <w:r>
        <w:rPr>
          <w:rFonts w:ascii="Arial" w:cs="Arial" w:eastAsia="Arial" w:hAnsi="Arial"/>
          <w:i/>
          <w:iCs/>
          <w:color w:val="555555"/>
          <w:sz w:val="22"/>
          <w:szCs w:val="22"/>
        </w:rPr>
        <w:t xml:space="preserve">Comité de Inversión Institucional — Marzo 2026</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Vault Mediana P50 (5a)</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P(Motor B2 Año 1)</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Riesgo Ruina Total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Riesgo Espiral Muerte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8"/>
                <w:szCs w:val="18"/>
              </w:rPr>
              <w:t xml:space="preserve">$37.2M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8"/>
                <w:szCs w:val="18"/>
              </w:rPr>
              <w:t xml:space="preserve">53.6% (base) — 82.3% (4F)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7AE60"/>
                <w:sz w:val="18"/>
                <w:szCs w:val="18"/>
              </w:rPr>
              <w:t xml:space="preserve">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22222"/>
                <w:sz w:val="18"/>
                <w:szCs w:val="18"/>
              </w:rPr>
              <w:t xml:space="preserve">1.4%</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Protocolo evaluado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LUKASH v3.0 — Arquitectura Económica Consolidada</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Autores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Comité: VC Cripto / Analista de Riesgo / Economista / Auditor Fintech / Especialista Tokenomics / Estratega de Capital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Horizonte de análisis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5 años (1,825 días simulados — 5,000 trayectorias Monte Carlo)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Metodología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6 dimensiones de evaluación + análisis de escenarios + propuesta alternativa P95</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Veredicto preliminar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F39C12"/>
                <w:sz w:val="18"/>
                <w:szCs w:val="18"/>
              </w:rPr>
              <w:t xml:space="preserve">INVERTIBLE CON CONDICIONES — sujeto a 7 pre-requisitos no negociables</w:t>
            </w:r>
          </w:p>
        </w:tc>
      </w:tr>
    </w:tbl>
    <w:p>
      <w:pPr>
        <w:spacing w:before="160" w:after="0"/>
      </w:pPr>
      <w:r>
        <w:t xml:space="preserve"/>
      </w:r>
    </w:p>
    <w:p>
      <w:pPr>
        <w:pStyle w:val="Heading1"/>
        <w:pBdr>
          <w:bottom w:val="single" w:color="C0392B" w:sz="6" w:space="4"/>
        </w:pBdr>
        <w:spacing w:before="340" w:after="120"/>
      </w:pPr>
      <w:r>
        <w:rPr>
          <w:rFonts w:ascii="Arial" w:cs="Arial" w:eastAsia="Arial" w:hAnsi="Arial"/>
          <w:b/>
          <w:bCs/>
          <w:color w:val="1A1A2E"/>
          <w:sz w:val="30"/>
          <w:szCs w:val="30"/>
        </w:rPr>
        <w:t xml:space="preserve">1. TESIS DE CREACIÓN DE VALOR</w:t>
      </w:r>
    </w:p>
    <w:p>
      <w:pPr>
        <w:spacing w:before="60" w:after="60"/>
        <w:jc w:val="both"/>
      </w:pPr>
      <w:r>
        <w:rPr>
          <w:rFonts w:ascii="Arial" w:cs="Arial" w:eastAsia="Arial" w:hAnsi="Arial"/>
          <w:b w:val="false"/>
          <w:bCs w:val="false"/>
          <w:i w:val="false"/>
          <w:iCs w:val="false"/>
          <w:color w:val="222222"/>
          <w:sz w:val="20"/>
          <w:szCs w:val="20"/>
        </w:rPr>
        <w:t xml:space="preserve">La tesis central de LUKASH plantea capturar capital especulativo vía fees de DEX (Motor A) y redirigirlo progresivamente hacia una reserva colateralizada de activos duros. El modelo diferencia entre fuentes de valor exógenas (volumen de trading) y endógenas (yield del Vault). Esta distinción es estructuralmente correcta pero exige validación cuantitativa rigurosa.</w:t>
      </w:r>
    </w:p>
    <w:p>
      <w:pPr>
        <w:spacing w:before="80" w:after="0"/>
      </w:pPr>
      <w:r>
        <w:t xml:space="preserve"/>
      </w:r>
    </w:p>
    <w:p>
      <w:pPr>
        <w:spacing w:before="180" w:after="80"/>
      </w:pPr>
      <w:r>
        <w:rPr>
          <w:rFonts w:ascii="Arial" w:cs="Arial" w:eastAsia="Arial" w:hAnsi="Arial"/>
          <w:b/>
          <w:bCs/>
          <w:color w:val="2C3E50"/>
          <w:sz w:val="22"/>
          <w:szCs w:val="22"/>
        </w:rPr>
        <w:t xml:space="preserve">Fuentes de Ingresos Identificadas</w:t>
      </w:r>
    </w:p>
    <w:p>
      <w:pPr>
        <w:pStyle w:val="ListParagraph"/>
        <w:numPr>
          <w:ilvl w:val="0"/>
          <w:numId w:val="2"/>
        </w:numPr>
        <w:spacing w:before="40" w:after="40"/>
      </w:pPr>
      <w:r>
        <w:rPr>
          <w:rFonts w:ascii="Arial" w:cs="Arial" w:eastAsia="Arial" w:hAnsi="Arial"/>
          <w:color w:val="333333"/>
          <w:sz w:val="19"/>
          <w:szCs w:val="19"/>
        </w:rPr>
        <w:t xml:space="preserve">Motor A — 4% sobre volumen DEX. Fuente primaria. Altamente dependiente de liquidez especulativa inicial.</w:t>
      </w:r>
    </w:p>
    <w:p>
      <w:pPr>
        <w:pStyle w:val="ListParagraph"/>
        <w:numPr>
          <w:ilvl w:val="0"/>
          <w:numId w:val="2"/>
        </w:numPr>
        <w:spacing w:before="40" w:after="40"/>
      </w:pPr>
      <w:r>
        <w:rPr>
          <w:rFonts w:ascii="Arial" w:cs="Arial" w:eastAsia="Arial" w:hAnsi="Arial"/>
          <w:color w:val="333333"/>
          <w:sz w:val="19"/>
          <w:szCs w:val="19"/>
        </w:rPr>
        <w:t xml:space="preserve">Motor B — 2.5% sobre transacciones App (LUKA). Fuente secundaria. Requiere base de usuarios activos.</w:t>
      </w:r>
    </w:p>
    <w:p>
      <w:pPr>
        <w:pStyle w:val="ListParagraph"/>
        <w:numPr>
          <w:ilvl w:val="0"/>
          <w:numId w:val="2"/>
        </w:numPr>
        <w:spacing w:before="40" w:after="40"/>
      </w:pPr>
      <w:r>
        <w:rPr>
          <w:rFonts w:ascii="Arial" w:cs="Arial" w:eastAsia="Arial" w:hAnsi="Arial"/>
          <w:color w:val="333333"/>
          <w:sz w:val="19"/>
          <w:szCs w:val="19"/>
        </w:rPr>
        <w:t xml:space="preserve">Motor C — 0.5% sobre pagos USDC. Fuente terciaria. Proyectada en Fase 3. La más sostenible a largo plazo.</w:t>
      </w:r>
    </w:p>
    <w:p>
      <w:pPr>
        <w:pStyle w:val="ListParagraph"/>
        <w:numPr>
          <w:ilvl w:val="0"/>
          <w:numId w:val="2"/>
        </w:numPr>
        <w:spacing w:before="40" w:after="40"/>
      </w:pPr>
      <w:r>
        <w:rPr>
          <w:rFonts w:ascii="Arial" w:cs="Arial" w:eastAsia="Arial" w:hAnsi="Arial"/>
          <w:color w:val="333333"/>
          <w:sz w:val="19"/>
          <w:szCs w:val="19"/>
        </w:rPr>
        <w:t xml:space="preserve">Yield del Vault — LST 6–8% + USDC lending 4–8%. Rendimiento pasivo creciente. Único ingreso endógeno puro.</w:t>
      </w:r>
    </w:p>
    <w:p>
      <w:pPr>
        <w:spacing w:before="80" w:after="0"/>
      </w:pPr>
      <w:r>
        <w:t xml:space="preserve"/>
      </w:r>
    </w:p>
    <w:p>
      <w:pPr>
        <w:spacing w:before="180" w:after="80"/>
      </w:pPr>
      <w:r>
        <w:rPr>
          <w:rFonts w:ascii="Arial" w:cs="Arial" w:eastAsia="Arial" w:hAnsi="Arial"/>
          <w:b/>
          <w:bCs/>
          <w:color w:val="2C3E50"/>
          <w:sz w:val="22"/>
          <w:szCs w:val="22"/>
        </w:rPr>
        <w:t xml:space="preserve">Análisis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Elemento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Evaluación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Riesgo Estructural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¿Crea valor o redistribuye?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Redistribución en Fase 1. Creación real en Fase 3 (yield + pagos).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MEDIO — el modelo requiere escalar sin perder el capital especulativo.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Dependencia de volumen especulativo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ALTA en primeros 24 meses. Sin Motor A activo, el Vault no crece.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ALTO — cualquier bear market prolongado corta el flujo primario.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Coherencia token-reserva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Precio KASH (piso) correctamente definido como Vault/Supply. Mecanismo sólido.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BAJO — lógica matemática consistente.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Valor endógeno vs. exógeno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80% exógeno (Año 1), 60% exógeno (Año 3), ~40% exógeno (Fase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El protocolo mejora con el tiempo pero el arranque es el punto más frágil.</w:t>
            </w:r>
          </w:p>
        </w:tc>
      </w:tr>
    </w:tbl>
    <w:p>
      <w:pPr>
        <w:spacing w:before="80" w:after="0"/>
      </w:pPr>
      <w:r>
        <w:t xml:space="preserve"/>
      </w:r>
    </w:p>
    <w:p>
      <w:pPr>
        <w:spacing w:before="60" w:after="60"/>
        <w:jc w:val="both"/>
      </w:pPr>
      <w:r>
        <w:rPr>
          <w:rFonts w:ascii="Arial" w:cs="Arial" w:eastAsia="Arial" w:hAnsi="Arial"/>
          <w:b w:val="false"/>
          <w:bCs w:val="false"/>
          <w:i/>
          <w:iCs/>
          <w:color w:val="222222"/>
          <w:sz w:val="20"/>
          <w:szCs w:val="20"/>
        </w:rPr>
        <w:t xml:space="preserve">CONCLUSIÓN: La tesis de valor es estructuralmente coherente pero temporalmente asimétrica. El valor real se construye gradualmente; en el corto plazo el protocolo depende casi exclusivamente de demanda especulativa. Esto es aceptable solo si se reconoce explícitamente como riesgo de fase temprana, no como fortaleza del diseño.</w:t>
      </w:r>
    </w:p>
    <w:p>
      <w:pPr>
        <w:spacing w:before="160" w:after="0"/>
      </w:pPr>
      <w:r>
        <w:t xml:space="preserve"/>
      </w:r>
    </w:p>
    <w:p>
      <w:pPr>
        <w:pStyle w:val="Heading1"/>
        <w:pBdr>
          <w:bottom w:val="single" w:color="C0392B" w:sz="6" w:space="4"/>
        </w:pBdr>
        <w:spacing w:before="340" w:after="120"/>
      </w:pPr>
      <w:r>
        <w:rPr>
          <w:rFonts w:ascii="Arial" w:cs="Arial" w:eastAsia="Arial" w:hAnsi="Arial"/>
          <w:b/>
          <w:bCs/>
          <w:color w:val="1A1A2E"/>
          <w:sz w:val="30"/>
          <w:szCs w:val="30"/>
        </w:rPr>
        <w:t xml:space="preserve">2. ANÁLISIS DE SOSTENIBILIDAD ECONÓMICA</w:t>
      </w:r>
    </w:p>
    <w:p>
      <w:pPr>
        <w:spacing w:before="180" w:after="80"/>
      </w:pPr>
      <w:r>
        <w:rPr>
          <w:rFonts w:ascii="Arial" w:cs="Arial" w:eastAsia="Arial" w:hAnsi="Arial"/>
          <w:b/>
          <w:bCs/>
          <w:color w:val="2C3E50"/>
          <w:sz w:val="22"/>
          <w:szCs w:val="22"/>
        </w:rPr>
        <w:t xml:space="preserve">Dinámica del Supply</w:t>
      </w:r>
    </w:p>
    <w:p>
      <w:pPr>
        <w:spacing w:before="60" w:after="60"/>
        <w:jc w:val="both"/>
      </w:pPr>
      <w:r>
        <w:rPr>
          <w:rFonts w:ascii="Arial" w:cs="Arial" w:eastAsia="Arial" w:hAnsi="Arial"/>
          <w:b w:val="false"/>
          <w:bCs w:val="false"/>
          <w:i w:val="false"/>
          <w:iCs w:val="false"/>
          <w:color w:val="222222"/>
          <w:sz w:val="20"/>
          <w:szCs w:val="20"/>
        </w:rPr>
        <w:t xml:space="preserve">El supply inicial de 10B tokens con objetivo de contracción a 3.3B (quema de 6.7B) está bien diseñado conceptualmente. La curva de contracción es acelerada e irreversible, lo que crea urgencia narrativa. Sin embargo, la meta de alcanzar 3.3B en 90 días asume un volumen diario de $5M, que es razonable para un proyecto memecoin en mercado alcista pero es el escenario mínimo, no el base.</w:t>
      </w:r>
    </w:p>
    <w:p>
      <w:pPr>
        <w:spacing w:before="80" w:after="0"/>
      </w:pPr>
      <w:r>
        <w:t xml:space="preserve"/>
      </w:r>
    </w:p>
    <w:p>
      <w:pPr>
        <w:spacing w:before="180" w:after="80"/>
      </w:pPr>
      <w:r>
        <w:rPr>
          <w:rFonts w:ascii="Arial" w:cs="Arial" w:eastAsia="Arial" w:hAnsi="Arial"/>
          <w:b/>
          <w:bCs/>
          <w:color w:val="2C3E50"/>
          <w:sz w:val="22"/>
          <w:szCs w:val="22"/>
        </w:rPr>
        <w:t xml:space="preserve">Mecanismo de Quema y Sostenibilidad de Recompensas</w:t>
      </w:r>
    </w:p>
    <w:p>
      <w:pPr>
        <w:pStyle w:val="ListParagraph"/>
        <w:numPr>
          <w:ilvl w:val="0"/>
          <w:numId w:val="2"/>
        </w:numPr>
        <w:spacing w:before="40" w:after="40"/>
      </w:pPr>
      <w:r>
        <w:rPr>
          <w:rFonts w:ascii="Arial" w:cs="Arial" w:eastAsia="Arial" w:hAnsi="Arial"/>
          <w:color w:val="333333"/>
          <w:sz w:val="19"/>
          <w:szCs w:val="19"/>
        </w:rPr>
        <w:t xml:space="preserve">El Motor B0 (quema pura) no tiene costo para el sistema — correcto en diseño.</w:t>
      </w:r>
    </w:p>
    <w:p>
      <w:pPr>
        <w:pStyle w:val="ListParagraph"/>
        <w:numPr>
          <w:ilvl w:val="0"/>
          <w:numId w:val="2"/>
        </w:numPr>
        <w:spacing w:before="40" w:after="40"/>
      </w:pPr>
      <w:r>
        <w:rPr>
          <w:rFonts w:ascii="Arial" w:cs="Arial" w:eastAsia="Arial" w:hAnsi="Arial"/>
          <w:color w:val="333333"/>
          <w:sz w:val="19"/>
          <w:szCs w:val="19"/>
        </w:rPr>
        <w:t xml:space="preserve">El Motor B2 requiere que la Reserva Operativa (R_op = 30% del yield del Vault) sea suficiente para compensar las quemas internas. Con un Vault inicial pequeño, esta reserva puede ser insuficiente si la App crece más rápido que el Vault.</w:t>
      </w:r>
    </w:p>
    <w:p>
      <w:pPr>
        <w:pStyle w:val="ListParagraph"/>
        <w:numPr>
          <w:ilvl w:val="0"/>
          <w:numId w:val="2"/>
        </w:numPr>
        <w:spacing w:before="40" w:after="40"/>
      </w:pPr>
      <w:r>
        <w:rPr>
          <w:rFonts w:ascii="Arial" w:cs="Arial" w:eastAsia="Arial" w:hAnsi="Arial"/>
          <w:color w:val="333333"/>
          <w:sz w:val="19"/>
          <w:szCs w:val="19"/>
        </w:rPr>
        <w:t xml:space="preserve">El throttle dinámico (ACELERADO/NORMAL/CONSERVADOR/DEFENSIVO) es el mecanismo correcto para evitar espirales, pero introduce complejidad operativa que puede generar desinformación en comunidades retail.</w:t>
      </w:r>
    </w:p>
    <w:p>
      <w:pPr>
        <w:pStyle w:val="ListParagraph"/>
        <w:numPr>
          <w:ilvl w:val="0"/>
          <w:numId w:val="2"/>
        </w:numPr>
        <w:spacing w:before="40" w:after="40"/>
      </w:pPr>
      <w:r>
        <w:rPr>
          <w:rFonts w:ascii="Arial" w:cs="Arial" w:eastAsia="Arial" w:hAnsi="Arial"/>
          <w:color w:val="333333"/>
          <w:sz w:val="19"/>
          <w:szCs w:val="19"/>
        </w:rPr>
        <w:t xml:space="preserve">La regla 70/30 (reinversión/R_op) es matemáticamente sostenible a partir de Vault &gt; $15M; por debajo de ese umbral, la R_op anual podría ser insuficiente si el Motor B2 se activa prematuramente.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Dimensión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Evaluación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Clasificación del Modelo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Equilibrio emisión-absorción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Bien diseñado. B0 es deflacionario sin costo. B2 depende del tamaño del Vault.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CONDICIONAL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Presión estructural de venta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Alta en primeras semanas (45% supply en venta desde TGE). Vesting recomendado pero no obligatorio para seed.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REFLEXIVO</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Estabilidad del respaldo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Vault 100% Solana-nativo reduce riesgo bridge. Correlación ponderada 0.46. Aceptable.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CONDICIONAL</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Modelo general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Sostenible en escenarios P50+. Frágil en primeros 6 meses si el volumen cae bajo $3M/día.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CONDICIONAL</w:t>
            </w:r>
          </w:p>
        </w:tc>
      </w:tr>
    </w:tbl>
    <w:p>
      <w:pPr>
        <w:spacing w:before="160" w:after="0"/>
      </w:pPr>
      <w:r>
        <w:t xml:space="preserve"/>
      </w:r>
    </w:p>
    <w:p>
      <w:pPr>
        <w:pStyle w:val="Heading1"/>
        <w:pBdr>
          <w:bottom w:val="single" w:color="C0392B" w:sz="6" w:space="4"/>
        </w:pBdr>
        <w:spacing w:before="340" w:after="120"/>
      </w:pPr>
      <w:r>
        <w:rPr>
          <w:rFonts w:ascii="Arial" w:cs="Arial" w:eastAsia="Arial" w:hAnsi="Arial"/>
          <w:b/>
          <w:bCs/>
          <w:color w:val="1A1A2E"/>
          <w:sz w:val="30"/>
          <w:szCs w:val="30"/>
        </w:rPr>
        <w:t xml:space="preserve">3. ANÁLISIS DE RIESGO</w:t>
      </w:r>
    </w:p>
    <w:p>
      <w:pPr>
        <w:spacing w:before="60" w:after="60"/>
        <w:jc w:val="both"/>
      </w:pPr>
      <w:r>
        <w:rPr>
          <w:rFonts w:ascii="Arial" w:cs="Arial" w:eastAsia="Arial" w:hAnsi="Arial"/>
          <w:b w:val="false"/>
          <w:bCs w:val="false"/>
          <w:i w:val="false"/>
          <w:iCs w:val="false"/>
          <w:color w:val="222222"/>
          <w:sz w:val="20"/>
          <w:szCs w:val="20"/>
        </w:rPr>
        <w:t xml:space="preserve">El protocolo identifica correctamente sus principales vectores de riesgo en la Sección 16 del documento. La evaluación institucional agrega una capa de análisis de dependencias cruzadas que el propio documento no aborda explícitamente.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Dimensión</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Hallazgo Clave</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Clasificación</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Severidad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Riesgo de liquidez (Motor 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Sin MM confirmados, la liquidez en semana 1 es voluntaria y altamente incierta.</w:t>
            </w:r>
          </w:p>
        </w:tc>
        <w:tc>
          <w:tcPr>
            <w:tcW w:type="dxa" w:w="1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ALTO</w:t>
            </w:r>
          </w:p>
        </w:tc>
        <w:tc>
          <w:tcPr>
            <w:tcW w:type="dxa" w:w="168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ALTA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Riesgo de modelo económico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B2 depende de R_op que depende del yield que depende del tamaño del Vault.</w:t>
            </w:r>
          </w:p>
        </w:tc>
        <w:tc>
          <w:tcPr>
            <w:tcW w:type="dxa" w:w="1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REFLEXIVO</w:t>
            </w:r>
          </w:p>
        </w:tc>
        <w:tc>
          <w:tcPr>
            <w:tcW w:type="dxa" w:w="168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ALTA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Riesgo de mercado (bear)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70% del ingreso en Fase 1 proviene de volumen especulativo sensible al ciclo cripto.</w:t>
            </w:r>
          </w:p>
        </w:tc>
        <w:tc>
          <w:tcPr>
            <w:tcW w:type="dxa" w:w="1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ALTO</w:t>
            </w:r>
          </w:p>
        </w:tc>
        <w:tc>
          <w:tcPr>
            <w:tcW w:type="dxa" w:w="168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ALTA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Riesgo de dependencia del crecimiento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P95 requiere que 4 frentes se ejecuten simultáneamente — baja probabilidad sin coordinación perfecta.</w:t>
            </w:r>
          </w:p>
        </w:tc>
        <w:tc>
          <w:tcPr>
            <w:tcW w:type="dxa" w:w="1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ALTO</w:t>
            </w:r>
          </w:p>
        </w:tc>
        <w:tc>
          <w:tcPr>
            <w:tcW w:type="dxa" w:w="168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MEDIA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Riesgo de complejidad operativa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Throttle + Circuit Breaker + UCR + LUKAI + Módulo contra-cíclico. Alto riesgo de fallo en implementación.</w:t>
            </w:r>
          </w:p>
        </w:tc>
        <w:tc>
          <w:tcPr>
            <w:tcW w:type="dxa" w:w="1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MEDIO</w:t>
            </w:r>
          </w:p>
        </w:tc>
        <w:tc>
          <w:tcPr>
            <w:tcW w:type="dxa" w:w="168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MEDIA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Riesgo de fallo de incentivos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KOLs con vesting pueden vender al desbloqueo. 45% supply en circulación desde TGE.</w:t>
            </w:r>
          </w:p>
        </w:tc>
        <w:tc>
          <w:tcPr>
            <w:tcW w:type="dxa" w:w="1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MEDIO</w:t>
            </w:r>
          </w:p>
        </w:tc>
        <w:tc>
          <w:tcPr>
            <w:tcW w:type="dxa" w:w="168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MEDIA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Riesgo de correlación del Vault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BTC 35% + SOL 35% + LST 20% = 90% correlacionado. En crash sistémico, el Vault cae simultáneamente.</w:t>
            </w:r>
          </w:p>
        </w:tc>
        <w:tc>
          <w:tcPr>
            <w:tcW w:type="dxa" w:w="1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MEDIO-ALTO</w:t>
            </w:r>
          </w:p>
        </w:tc>
        <w:tc>
          <w:tcPr>
            <w:tcW w:type="dxa" w:w="168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ALTA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Riesgo de concentración geográfica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Foco LatAm en Fase 2. Regulación cambiante en México y Colombia puede frenar el Motor C.</w:t>
            </w:r>
          </w:p>
        </w:tc>
        <w:tc>
          <w:tcPr>
            <w:tcW w:type="dxa" w:w="1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MEDIO</w:t>
            </w:r>
          </w:p>
        </w:tc>
        <w:tc>
          <w:tcPr>
            <w:tcW w:type="dxa" w:w="168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MEDIA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18"/>
                <w:szCs w:val="18"/>
              </w:rPr>
              <w:t xml:space="preserve">Riesgo de modelo de seguridad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Smart contracts en Solana. Sin auditoría completada (mencionada como pre-requisito). Sin seguro activo.</w:t>
            </w:r>
          </w:p>
        </w:tc>
        <w:tc>
          <w:tcPr>
            <w:tcW w:type="dxa" w:w="1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jc w:val="center"/>
            </w:pPr>
            <w:r>
              <w:rPr>
                <w:rFonts w:ascii="Arial" w:cs="Arial" w:eastAsia="Arial" w:hAnsi="Arial"/>
                <w:b/>
                <w:bCs/>
                <w:color w:val="C0392B"/>
                <w:sz w:val="17"/>
                <w:szCs w:val="17"/>
              </w:rPr>
              <w:t xml:space="preserve">ALTO</w:t>
            </w:r>
          </w:p>
        </w:tc>
        <w:tc>
          <w:tcPr>
            <w:tcW w:type="dxa" w:w="1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CRÍTICA</w:t>
            </w:r>
          </w:p>
        </w:tc>
      </w:tr>
    </w:tbl>
    <w:p>
      <w:pPr>
        <w:spacing w:before="80" w:after="0"/>
      </w:pPr>
      <w:r>
        <w:t xml:space="preserve"/>
      </w:r>
    </w:p>
    <w:p>
      <w:pPr>
        <w:spacing w:before="60" w:after="60"/>
        <w:jc w:val="both"/>
      </w:pPr>
      <w:r>
        <w:rPr>
          <w:rFonts w:ascii="Arial" w:cs="Arial" w:eastAsia="Arial" w:hAnsi="Arial"/>
          <w:b/>
          <w:bCs/>
          <w:i w:val="false"/>
          <w:iCs w:val="false"/>
          <w:color w:val="C0392B"/>
          <w:sz w:val="20"/>
          <w:szCs w:val="20"/>
        </w:rPr>
        <w:t xml:space="preserve">RED FLAG CRÍTICA: El protocolo referencia auditorías Ottersec/Halborn como hitos de la Etapa 0 pero no las muestra como completadas. Para inversión institucional, las auditorías deben ser pre-condición, no meta futura.</w:t>
      </w:r>
    </w:p>
    <w:p>
      <w:pPr>
        <w:spacing w:before="160" w:after="0"/>
      </w:pPr>
      <w:r>
        <w:t xml:space="preserve"/>
      </w:r>
    </w:p>
    <w:p>
      <w:pPr>
        <w:pStyle w:val="Heading1"/>
        <w:pBdr>
          <w:bottom w:val="single" w:color="C0392B" w:sz="6" w:space="4"/>
        </w:pBdr>
        <w:spacing w:before="340" w:after="120"/>
      </w:pPr>
      <w:r>
        <w:rPr>
          <w:rFonts w:ascii="Arial" w:cs="Arial" w:eastAsia="Arial" w:hAnsi="Arial"/>
          <w:b/>
          <w:bCs/>
          <w:color w:val="1A1A2E"/>
          <w:sz w:val="30"/>
          <w:szCs w:val="30"/>
        </w:rPr>
        <w:t xml:space="preserve">4. CALIDAD DE ARQUITECTURA DEL PROTOCOLO</w:t>
      </w:r>
    </w:p>
    <w:p>
      <w:pPr>
        <w:spacing w:before="180" w:after="80"/>
      </w:pPr>
      <w:r>
        <w:rPr>
          <w:rFonts w:ascii="Arial" w:cs="Arial" w:eastAsia="Arial" w:hAnsi="Arial"/>
          <w:b/>
          <w:bCs/>
          <w:color w:val="2C3E50"/>
          <w:sz w:val="22"/>
          <w:szCs w:val="22"/>
        </w:rPr>
        <w:t xml:space="preserve">Fortalezas Estructurales</w:t>
      </w:r>
    </w:p>
    <w:p>
      <w:pPr>
        <w:pStyle w:val="ListParagraph"/>
        <w:numPr>
          <w:ilvl w:val="0"/>
          <w:numId w:val="2"/>
        </w:numPr>
        <w:spacing w:before="40" w:after="40"/>
      </w:pPr>
      <w:r>
        <w:rPr>
          <w:rFonts w:ascii="Arial" w:cs="Arial" w:eastAsia="Arial" w:hAnsi="Arial"/>
          <w:color w:val="333333"/>
          <w:sz w:val="19"/>
          <w:szCs w:val="19"/>
        </w:rPr>
        <w:t xml:space="preserve">Separación Core/Sociedad — elimina el riesgo de que el capital de socios descapitalice la reserva soberana. Diseño correcto.</w:t>
      </w:r>
    </w:p>
    <w:p>
      <w:pPr>
        <w:pStyle w:val="ListParagraph"/>
        <w:numPr>
          <w:ilvl w:val="0"/>
          <w:numId w:val="2"/>
        </w:numPr>
        <w:spacing w:before="40" w:after="40"/>
      </w:pPr>
      <w:r>
        <w:rPr>
          <w:rFonts w:ascii="Arial" w:cs="Arial" w:eastAsia="Arial" w:hAnsi="Arial"/>
          <w:color w:val="333333"/>
          <w:sz w:val="19"/>
          <w:szCs w:val="19"/>
        </w:rPr>
        <w:t xml:space="preserve">Arquitectura de 3 capas del Vault — Capa 1 (liquidez inmediata), Capa 2 (trabajo activo), Capa 3 (reserva profunda). Diseño institucional sólido.</w:t>
      </w:r>
    </w:p>
    <w:p>
      <w:pPr>
        <w:pStyle w:val="ListParagraph"/>
        <w:numPr>
          <w:ilvl w:val="0"/>
          <w:numId w:val="2"/>
        </w:numPr>
        <w:spacing w:before="40" w:after="40"/>
      </w:pPr>
      <w:r>
        <w:rPr>
          <w:rFonts w:ascii="Arial" w:cs="Arial" w:eastAsia="Arial" w:hAnsi="Arial"/>
          <w:color w:val="333333"/>
          <w:sz w:val="19"/>
          <w:szCs w:val="19"/>
        </w:rPr>
        <w:t xml:space="preserve">Throttle Dinámico — el mecanismo anti-espiral reduce la probabilidad de colapso de 8% a 1.4%. Validado en simulación.</w:t>
      </w:r>
    </w:p>
    <w:p>
      <w:pPr>
        <w:pStyle w:val="ListParagraph"/>
        <w:numPr>
          <w:ilvl w:val="0"/>
          <w:numId w:val="2"/>
        </w:numPr>
        <w:spacing w:before="40" w:after="40"/>
      </w:pPr>
      <w:r>
        <w:rPr>
          <w:rFonts w:ascii="Arial" w:cs="Arial" w:eastAsia="Arial" w:hAnsi="Arial"/>
          <w:color w:val="333333"/>
          <w:sz w:val="19"/>
          <w:szCs w:val="19"/>
        </w:rPr>
        <w:t xml:space="preserve">LUKAI contra-cíclico — la lógica de comprar activos volátiles en bear y acumular USDC en bull es contrarian correcta. Ventaja +22-23% validada.</w:t>
      </w:r>
    </w:p>
    <w:p>
      <w:pPr>
        <w:pStyle w:val="ListParagraph"/>
        <w:numPr>
          <w:ilvl w:val="0"/>
          <w:numId w:val="2"/>
        </w:numPr>
        <w:spacing w:before="40" w:after="40"/>
      </w:pPr>
      <w:r>
        <w:rPr>
          <w:rFonts w:ascii="Arial" w:cs="Arial" w:eastAsia="Arial" w:hAnsi="Arial"/>
          <w:color w:val="333333"/>
          <w:sz w:val="19"/>
          <w:szCs w:val="19"/>
        </w:rPr>
        <w:t xml:space="preserve">Precio KASH como piso de valor — único en el segmento memecoin. Diferenciador genuino y verificable on-chain.</w:t>
      </w:r>
    </w:p>
    <w:p>
      <w:pPr>
        <w:spacing w:before="80" w:after="0"/>
      </w:pPr>
      <w:r>
        <w:t xml:space="preserve"/>
      </w:r>
    </w:p>
    <w:p>
      <w:pPr>
        <w:spacing w:before="180" w:after="80"/>
      </w:pPr>
      <w:r>
        <w:rPr>
          <w:rFonts w:ascii="Arial" w:cs="Arial" w:eastAsia="Arial" w:hAnsi="Arial"/>
          <w:b/>
          <w:bCs/>
          <w:color w:val="2C3E50"/>
          <w:sz w:val="22"/>
          <w:szCs w:val="22"/>
        </w:rPr>
        <w:t xml:space="preserve">Vulnerabilidades Estructurales</w:t>
      </w:r>
    </w:p>
    <w:p>
      <w:pPr>
        <w:pStyle w:val="ListParagraph"/>
        <w:numPr>
          <w:ilvl w:val="0"/>
          <w:numId w:val="2"/>
        </w:numPr>
        <w:spacing w:before="40" w:after="40"/>
      </w:pPr>
      <w:r>
        <w:rPr>
          <w:rFonts w:ascii="Arial" w:cs="Arial" w:eastAsia="Arial" w:hAnsi="Arial"/>
          <w:color w:val="333333"/>
          <w:sz w:val="19"/>
          <w:szCs w:val="19"/>
        </w:rPr>
        <w:t xml:space="preserve">Circularidad implícita — el Motor A usa SOL para comprar $LUKA del mercado y quemarlo, mientras el LP (30% del capital) también está en $LUKA. Si el precio cae, ambos mecanismos se debilitan simultáneamente.</w:t>
      </w:r>
    </w:p>
    <w:p>
      <w:pPr>
        <w:pStyle w:val="ListParagraph"/>
        <w:numPr>
          <w:ilvl w:val="0"/>
          <w:numId w:val="2"/>
        </w:numPr>
        <w:spacing w:before="40" w:after="40"/>
      </w:pPr>
      <w:r>
        <w:rPr>
          <w:rFonts w:ascii="Arial" w:cs="Arial" w:eastAsia="Arial" w:hAnsi="Arial"/>
          <w:color w:val="333333"/>
          <w:sz w:val="19"/>
          <w:szCs w:val="19"/>
        </w:rPr>
        <w:t xml:space="preserve">K_min $25M como umbral crítico — si el Motor A no alcanza ese nivel, el Motor B0 opera en modo de quema pura sin compensación, lo cual es deflacionario pero no genera confianza institucional.</w:t>
      </w:r>
    </w:p>
    <w:p>
      <w:pPr>
        <w:pStyle w:val="ListParagraph"/>
        <w:numPr>
          <w:ilvl w:val="0"/>
          <w:numId w:val="2"/>
        </w:numPr>
        <w:spacing w:before="40" w:after="40"/>
      </w:pPr>
      <w:r>
        <w:rPr>
          <w:rFonts w:ascii="Arial" w:cs="Arial" w:eastAsia="Arial" w:hAnsi="Arial"/>
          <w:color w:val="333333"/>
          <w:sz w:val="19"/>
          <w:szCs w:val="19"/>
        </w:rPr>
        <w:t xml:space="preserve">Dependencia de Pyth Network para múltiples decisiones críticas — el Throttle, el switch B0→B2, y el módulo contra-cíclico dependen de feeds externos. Un fallo de oráculo tiene consecuencias en cascada.</w:t>
      </w:r>
    </w:p>
    <w:p>
      <w:pPr>
        <w:pStyle w:val="ListParagraph"/>
        <w:numPr>
          <w:ilvl w:val="0"/>
          <w:numId w:val="2"/>
        </w:numPr>
        <w:spacing w:before="40" w:after="40"/>
      </w:pPr>
      <w:r>
        <w:rPr>
          <w:rFonts w:ascii="Arial" w:cs="Arial" w:eastAsia="Arial" w:hAnsi="Arial"/>
          <w:color w:val="333333"/>
          <w:sz w:val="19"/>
          <w:szCs w:val="19"/>
        </w:rPr>
        <w:t xml:space="preserve">El 45% del supply en circulación desde el TGE — sin vesting obligatorio para inversores seed, la presión vendedora inicial puede invalidar la narrativa deflacionaria antes de que el quema catch up.</w:t>
      </w:r>
    </w:p>
    <w:p>
      <w:pPr>
        <w:spacing w:before="80" w:after="0"/>
      </w:pPr>
      <w:r>
        <w:t xml:space="preserve"/>
      </w:r>
    </w:p>
    <w:p>
      <w:pPr>
        <w:spacing w:before="180" w:after="80"/>
      </w:pPr>
      <w:r>
        <w:rPr>
          <w:rFonts w:ascii="Arial" w:cs="Arial" w:eastAsia="Arial" w:hAnsi="Arial"/>
          <w:b/>
          <w:bCs/>
          <w:color w:val="2C3E50"/>
          <w:sz w:val="22"/>
          <w:szCs w:val="22"/>
        </w:rPr>
        <w:t xml:space="preserve">Coherencia entre Motores Económicos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Motor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Captura de Valor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Dependencia</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Evaluación</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Motor A (DEX)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4% sobre volumen — directo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Mercado alcista + MM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BUENO — pero volátil</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Motor B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2.5% transacciones internas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Base usuarios + Vault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CONDICIONAL — no autónomo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Motor C (Pagos)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0.5% stablecoins — masivo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Adopción real + regulación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EXCELENTE — en Fase 3</w:t>
            </w:r>
          </w:p>
        </w:tc>
      </w:tr>
    </w:tbl>
    <w:p>
      <w:pPr>
        <w:spacing w:before="160" w:after="0"/>
      </w:pPr>
      <w:r>
        <w:t xml:space="preserve"/>
      </w:r>
    </w:p>
    <w:p>
      <w:pPr>
        <w:pStyle w:val="Heading1"/>
        <w:pBdr>
          <w:bottom w:val="single" w:color="C0392B" w:sz="6" w:space="4"/>
        </w:pBdr>
        <w:spacing w:before="340" w:after="120"/>
      </w:pPr>
      <w:r>
        <w:rPr>
          <w:rFonts w:ascii="Arial" w:cs="Arial" w:eastAsia="Arial" w:hAnsi="Arial"/>
          <w:b/>
          <w:bCs/>
          <w:color w:val="1A1A2E"/>
          <w:sz w:val="30"/>
          <w:szCs w:val="30"/>
        </w:rPr>
        <w:t xml:space="preserve">5. COMPARACIÓN CON PROTOCOLOS RELEVANTES</w:t>
      </w:r>
    </w:p>
    <w:p>
      <w:pPr>
        <w:spacing w:before="60" w:after="60"/>
        <w:jc w:val="both"/>
      </w:pPr>
      <w:r>
        <w:rPr>
          <w:rFonts w:ascii="Arial" w:cs="Arial" w:eastAsia="Arial" w:hAnsi="Arial"/>
          <w:b w:val="false"/>
          <w:bCs w:val="false"/>
          <w:i w:val="false"/>
          <w:iCs w:val="false"/>
          <w:color w:val="222222"/>
          <w:sz w:val="20"/>
          <w:szCs w:val="20"/>
        </w:rPr>
        <w:t xml:space="preserve">La categorización correcta es el ejercicio más importante para inversores institucionales. LUKASH se autopresenta como un protocolo bancario soberano, pero su estructura actual tiene componentes de múltiples categorías.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Categoría</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Similitudes con LUKASH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Diferencias Clave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Riesgo Heredado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Memecoins reflexivas (BONK, WIF)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Arranque con hype, viralidad, Jungle Arena, KOLs.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LUKASH tiene Vault de respaldo real. Memecoins 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ALTO — dependencia de narrativa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Protocolos DeFi de rendimiento (Kamino)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Yield sobre LST/USDC lending. Vault pasivo.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LUKASH tiene motor de trading propio. DeFi puro 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MEDIO — riesgo de smart contract</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Stablecoins algorítmicas (LUNA/UST)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Token respaldado por reserva mixta con mecanismos de estabilización.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LUKASH NO promete peg. Precio KASH es piso, no fijo.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BAJO — no hay death spiral por diseño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Neobancos cripto (Nubank modelo)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App educativa, segmentación LatAm, gamificación.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LUKASH necesita licencias que aún no tiene.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MEDIO — riesgo regulatorio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Sistemas de reserva (Reflexión: OHM)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Vault creciente que respalda el valor del token.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LUKASH no usa bonding. Fees directos.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BAJO — no hereda el modelo Ponzi de OHM</w:t>
            </w:r>
          </w:p>
        </w:tc>
      </w:tr>
    </w:tbl>
    <w:p>
      <w:pPr>
        <w:spacing w:before="80" w:after="0"/>
      </w:pPr>
      <w:r>
        <w:t xml:space="preserve"/>
      </w:r>
    </w:p>
    <w:p>
      <w:pPr>
        <w:spacing w:before="60" w:after="60"/>
        <w:jc w:val="both"/>
      </w:pPr>
      <w:r>
        <w:rPr>
          <w:rFonts w:ascii="Arial" w:cs="Arial" w:eastAsia="Arial" w:hAnsi="Arial"/>
          <w:b w:val="false"/>
          <w:bCs w:val="false"/>
          <w:i/>
          <w:iCs/>
          <w:color w:val="222222"/>
          <w:sz w:val="20"/>
          <w:szCs w:val="20"/>
        </w:rPr>
        <w:t xml:space="preserve">CONCLUSIÓN: LUKASH pertenece a una categoría híbrida que no existe formalmente: Memecoin con Reserva Colateralizada Activa. Es una categoría nueva. Esto es una ventaja narrativa pero también una desventaja institucional: no hay benchmarks previos con los cuales calcular el riesgo ajustado.</w:t>
      </w:r>
    </w:p>
    <w:p>
      <w:pPr>
        <w:spacing w:before="160" w:after="0"/>
      </w:pPr>
      <w:r>
        <w:t xml:space="preserve"/>
      </w:r>
    </w:p>
    <w:p>
      <w:pPr>
        <w:pStyle w:val="Heading1"/>
        <w:pBdr>
          <w:bottom w:val="single" w:color="C0392B" w:sz="6" w:space="4"/>
        </w:pBdr>
        <w:spacing w:before="340" w:after="120"/>
      </w:pPr>
      <w:r>
        <w:rPr>
          <w:rFonts w:ascii="Arial" w:cs="Arial" w:eastAsia="Arial" w:hAnsi="Arial"/>
          <w:b/>
          <w:bCs/>
          <w:color w:val="1A1A2E"/>
          <w:sz w:val="30"/>
          <w:szCs w:val="30"/>
        </w:rPr>
        <w:t xml:space="preserve">6. ATRACTIVO PARA CAPITAL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6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EVALUACIÓN INSTITUCIONAL</w:t>
            </w:r>
          </w:p>
        </w:tc>
      </w:tr>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Claridad del flujo de caja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Parcialmente claro. Motor A es previsible; Motor B y C dependen de hitos futuros. Flujo no modelable con precisión hasta Fase 2.</w:t>
            </w:r>
          </w:p>
        </w:tc>
      </w:tr>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Previsibilidad del modelo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BAJA en los primeros 12 meses. MEDIA en 24–36 meses. ALTA en Fase 3 (Motor C activo con licencias).</w:t>
            </w:r>
          </w:p>
        </w:tc>
      </w:tr>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Riesgo ajustado por retorno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Asimetría favorable: P95 de $267M Vault vs. P5 de &lt;$5M. Ratio atractivo pero con alta varianza.</w:t>
            </w:r>
          </w:p>
        </w:tc>
      </w:tr>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Resiliencia en mercados adversos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MEDIA. Throttle y UCR son mecanismos correctos. El protocolo sobrevive bears prolongados según simulación (0% ruina total).</w:t>
            </w:r>
          </w:p>
        </w:tc>
      </w:tr>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Potencial de escala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ALTO. Motor C en pagos masivos y tokenización RWA son mercados de billones. La arquitectura técnica puede escalar.</w:t>
            </w:r>
          </w:p>
        </w:tc>
      </w:tr>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Transparencia económica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BUENA en diseño. Pendiente de implementación. Dashboard on-chain prometido pero no desplegado.</w:t>
            </w:r>
          </w:p>
        </w:tc>
      </w:tr>
    </w:tbl>
    <w:p>
      <w:pPr>
        <w:spacing w:before="80" w:after="0"/>
      </w:pPr>
      <w:r>
        <w:t xml:space="preserve"/>
      </w:r>
    </w:p>
    <w:p>
      <w:pPr>
        <w:spacing w:before="60" w:after="60"/>
        <w:jc w:val="both"/>
      </w:pPr>
      <w:r>
        <w:rPr>
          <w:rFonts w:ascii="Arial" w:cs="Arial" w:eastAsia="Arial" w:hAnsi="Arial"/>
          <w:b/>
          <w:bCs/>
          <w:i w:val="false"/>
          <w:iCs w:val="false"/>
          <w:color w:val="222222"/>
          <w:sz w:val="20"/>
          <w:szCs w:val="20"/>
        </w:rPr>
        <w:t xml:space="preserve">DIAGNÓSTICO INSTITUCIONAL: El protocolo tiene todos los componentes para calificar como inversión institucional, pero en la etapa actual (pre-TGE) el riesgo de ejecución supera al riesgo de diseño. El mayor riesgo no es el mecanismo — el mayor riesgo es que el equipo no pueda ejecutar los 4 Frentes simultáneamente.</w:t>
      </w:r>
    </w:p>
    <w:p>
      <w:pPr>
        <w:spacing w:before="160" w:after="0"/>
      </w:pPr>
      <w:r>
        <w:t xml:space="preserve"/>
      </w:r>
    </w:p>
    <w:p>
      <w:pPr>
        <w:pStyle w:val="Heading1"/>
        <w:pBdr>
          <w:bottom w:val="single" w:color="C0392B" w:sz="6" w:space="4"/>
        </w:pBdr>
        <w:spacing w:before="340" w:after="120"/>
      </w:pPr>
      <w:r>
        <w:rPr>
          <w:rFonts w:ascii="Arial" w:cs="Arial" w:eastAsia="Arial" w:hAnsi="Arial"/>
          <w:b/>
          <w:bCs/>
          <w:color w:val="1A1A2E"/>
          <w:sz w:val="30"/>
          <w:szCs w:val="30"/>
        </w:rPr>
        <w:t xml:space="preserve">7. ANÁLISIS DE ESCENARIOS DE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760"/>
        <w:gridCol w:w="1760"/>
        <w:gridCol w:w="1880"/>
      </w:tblGrid>
      <w:tr>
        <w:trPr>
          <w:tblHeader/>
        </w:trP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Escenario</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Motor A (Vol. Diario)</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Vault Año 1</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Vault Año 5</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Comportamiento</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Bull market prolongado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$35M–$120M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$38M–$150M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$150M–$267M (P95)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Óptimo. Todos los motores activos antes del Año 2.</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Mercado lateral (neutral)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$5M–$15M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$15M–$25M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$37M–$65M (P50)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Viable. B2 puede no activarse en Año 1. Throttle NORMAL.</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Bear market moderado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$1M–$5M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$5M–$15M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$18M–$37M (P25)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Tenso. R_op al límite. Throttle CONSERVADOR activo.</w:t>
            </w:r>
          </w:p>
        </w:tc>
      </w:tr>
      <w:tr>
        <w:trPr>
          <w:tblHeader w:val="false"/>
        </w:trP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Caída severa del sector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&lt;$1M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$2M–$8M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$10M–$20M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Modo supervivencia. Vault preservado (0% ruina). Sin B2. Narrativa dañada.</w:t>
            </w:r>
          </w:p>
        </w:tc>
      </w:tr>
    </w:tbl>
    <w:p>
      <w:pPr>
        <w:spacing w:before="80" w:after="0"/>
      </w:pPr>
      <w:r>
        <w:t xml:space="preserve"/>
      </w:r>
    </w:p>
    <w:p>
      <w:pPr>
        <w:spacing w:before="60" w:after="60"/>
        <w:jc w:val="both"/>
      </w:pPr>
      <w:r>
        <w:rPr>
          <w:rFonts w:ascii="Arial" w:cs="Arial" w:eastAsia="Arial" w:hAnsi="Arial"/>
          <w:b w:val="false"/>
          <w:bCs w:val="false"/>
          <w:i/>
          <w:iCs/>
          <w:color w:val="222222"/>
          <w:sz w:val="20"/>
          <w:szCs w:val="20"/>
        </w:rPr>
        <w:t xml:space="preserve">La simulación Monte Carlo valida que el Vault no colapsa en ningún escenario gracias al throttle y la capa de USDC inmediata. Lo que sí colapsa en escenario severo es la narrativa y el precio de mercado de $LUKA — que puede quedar muy por debajo del Precio KASH sin mecanismo de recompra forzada antes de Fase 3.</w:t>
      </w:r>
    </w:p>
    <w:p>
      <w:pPr>
        <w:spacing w:before="160" w:after="0"/>
      </w:pPr>
      <w:r>
        <w:t xml:space="preserve"/>
      </w:r>
    </w:p>
    <w:p>
      <w:pPr>
        <w:pStyle w:val="Heading1"/>
        <w:pBdr>
          <w:bottom w:val="single" w:color="C0392B" w:sz="6" w:space="4"/>
        </w:pBdr>
        <w:spacing w:before="340" w:after="120"/>
      </w:pPr>
      <w:r>
        <w:rPr>
          <w:rFonts w:ascii="Arial" w:cs="Arial" w:eastAsia="Arial" w:hAnsi="Arial"/>
          <w:b/>
          <w:bCs/>
          <w:color w:val="1A1A2E"/>
          <w:sz w:val="30"/>
          <w:szCs w:val="30"/>
        </w:rPr>
        <w:t xml:space="preserve">8. VEREDICTO DE INVERSIÓN</w:t>
      </w:r>
    </w:p>
    <w:p>
      <w:pPr>
        <w:shd w:fill="F39C12" w:val="clear"/>
        <w:spacing w:before="120" w:after="120"/>
        <w:jc w:val="center"/>
      </w:pPr>
      <w:r>
        <w:rPr>
          <w:rFonts w:ascii="Arial" w:cs="Arial" w:eastAsia="Arial" w:hAnsi="Arial"/>
          <w:b/>
          <w:bCs/>
          <w:color w:val="FFFFFF"/>
          <w:sz w:val="36"/>
          <w:szCs w:val="36"/>
        </w:rPr>
        <w:t xml:space="preserve">✔  INVERTIBLE CON CONDICIONES</w:t>
      </w:r>
    </w:p>
    <w:p>
      <w:pPr>
        <w:spacing w:before="80" w:after="0"/>
      </w:pPr>
      <w:r>
        <w:t xml:space="preserve"/>
      </w:r>
    </w:p>
    <w:p>
      <w:pPr>
        <w:spacing w:before="60" w:after="60"/>
        <w:jc w:val="both"/>
      </w:pPr>
      <w:r>
        <w:rPr>
          <w:rFonts w:ascii="Arial" w:cs="Arial" w:eastAsia="Arial" w:hAnsi="Arial"/>
          <w:b w:val="false"/>
          <w:bCs w:val="false"/>
          <w:i w:val="false"/>
          <w:iCs w:val="false"/>
          <w:color w:val="222222"/>
          <w:sz w:val="20"/>
          <w:szCs w:val="20"/>
        </w:rPr>
        <w:t xml:space="preserve">El Protocolo LUKASH v3.0 es invertible desde una perspectiva institucional bajo la condición de que se ejecuten 7 pre-requisitos no negociables antes del desembolso de capital. El diseño es económicamente coherente, el modelo matemático es consistente, y los mecanismos de protección (throttle, Circuit Breaker, UCR) están correctamente diseñados. El riesgo principal no es el protocolo — es la ejecución.</w:t>
      </w:r>
    </w:p>
    <w:p>
      <w:pPr>
        <w:spacing w:before="80" w:after="0"/>
      </w:pPr>
      <w:r>
        <w:t xml:space="preserve"/>
      </w:r>
    </w:p>
    <w:p>
      <w:pPr>
        <w:spacing w:before="180" w:after="80"/>
      </w:pPr>
      <w:r>
        <w:rPr>
          <w:rFonts w:ascii="Arial" w:cs="Arial" w:eastAsia="Arial" w:hAnsi="Arial"/>
          <w:b/>
          <w:bCs/>
          <w:color w:val="2C3E50"/>
          <w:sz w:val="22"/>
          <w:szCs w:val="22"/>
        </w:rPr>
        <w:t xml:space="preserve">7 Condiciones Mínimas para Inversión</w:t>
      </w:r>
    </w:p>
    <w:p>
      <w:pPr>
        <w:pStyle w:val="ListParagraph"/>
        <w:numPr>
          <w:ilvl w:val="0"/>
          <w:numId w:val="2"/>
        </w:numPr>
        <w:spacing w:before="40" w:after="40"/>
      </w:pPr>
      <w:r>
        <w:rPr>
          <w:rFonts w:ascii="Arial" w:cs="Arial" w:eastAsia="Arial" w:hAnsi="Arial"/>
          <w:color w:val="333333"/>
          <w:sz w:val="19"/>
          <w:szCs w:val="19"/>
        </w:rPr>
        <w:t xml:space="preserve">1. Auditorías de smart contracts completadas y publicadas por Ottersec O Halborn antes de cualquier desembolso.</w:t>
      </w:r>
    </w:p>
    <w:p>
      <w:pPr>
        <w:pStyle w:val="ListParagraph"/>
        <w:numPr>
          <w:ilvl w:val="0"/>
          <w:numId w:val="2"/>
        </w:numPr>
        <w:spacing w:before="40" w:after="40"/>
      </w:pPr>
      <w:r>
        <w:rPr>
          <w:rFonts w:ascii="Arial" w:cs="Arial" w:eastAsia="Arial" w:hAnsi="Arial"/>
          <w:color w:val="333333"/>
          <w:sz w:val="19"/>
          <w:szCs w:val="19"/>
        </w:rPr>
        <w:t xml:space="preserve">2. Vesting obligatorio y on-chain para el 100% de los tokens seed — no solo recomendado sino como condición contractual.</w:t>
      </w:r>
    </w:p>
    <w:p>
      <w:pPr>
        <w:pStyle w:val="ListParagraph"/>
        <w:numPr>
          <w:ilvl w:val="0"/>
          <w:numId w:val="2"/>
        </w:numPr>
        <w:spacing w:before="40" w:after="40"/>
      </w:pPr>
      <w:r>
        <w:rPr>
          <w:rFonts w:ascii="Arial" w:cs="Arial" w:eastAsia="Arial" w:hAnsi="Arial"/>
          <w:color w:val="333333"/>
          <w:sz w:val="19"/>
          <w:szCs w:val="19"/>
        </w:rPr>
        <w:t xml:space="preserve">3. Market Maker confirmado (Wintermute, Jump Crypto, o equivalente) con compromiso firmado de liquidez mínima para D1–D90.</w:t>
      </w:r>
    </w:p>
    <w:p>
      <w:pPr>
        <w:pStyle w:val="ListParagraph"/>
        <w:numPr>
          <w:ilvl w:val="0"/>
          <w:numId w:val="2"/>
        </w:numPr>
        <w:spacing w:before="40" w:after="40"/>
      </w:pPr>
      <w:r>
        <w:rPr>
          <w:rFonts w:ascii="Arial" w:cs="Arial" w:eastAsia="Arial" w:hAnsi="Arial"/>
          <w:color w:val="333333"/>
          <w:sz w:val="19"/>
          <w:szCs w:val="19"/>
        </w:rPr>
        <w:t xml:space="preserve">4. Dashboard on-chain del Vault en producción y auditable antes del TGE — no prometido, implementado.</w:t>
      </w:r>
    </w:p>
    <w:p>
      <w:pPr>
        <w:pStyle w:val="ListParagraph"/>
        <w:numPr>
          <w:ilvl w:val="0"/>
          <w:numId w:val="2"/>
        </w:numPr>
        <w:spacing w:before="40" w:after="40"/>
      </w:pPr>
      <w:r>
        <w:rPr>
          <w:rFonts w:ascii="Arial" w:cs="Arial" w:eastAsia="Arial" w:hAnsi="Arial"/>
          <w:color w:val="333333"/>
          <w:sz w:val="19"/>
          <w:szCs w:val="19"/>
        </w:rPr>
        <w:t xml:space="preserve">5. K_min ($25M) hardcoded en smart contract y verificable on-chain independientemente del equipo.</w:t>
      </w:r>
    </w:p>
    <w:p>
      <w:pPr>
        <w:pStyle w:val="ListParagraph"/>
        <w:numPr>
          <w:ilvl w:val="0"/>
          <w:numId w:val="2"/>
        </w:numPr>
        <w:spacing w:before="40" w:after="40"/>
      </w:pPr>
      <w:r>
        <w:rPr>
          <w:rFonts w:ascii="Arial" w:cs="Arial" w:eastAsia="Arial" w:hAnsi="Arial"/>
          <w:color w:val="333333"/>
          <w:sz w:val="19"/>
          <w:szCs w:val="19"/>
        </w:rPr>
        <w:t xml:space="preserve">6. Seguro anti-exploit activado (hasta 5% del Vault) desde el día del TGE, no como hito futuro.</w:t>
      </w:r>
    </w:p>
    <w:p>
      <w:pPr>
        <w:pStyle w:val="ListParagraph"/>
        <w:numPr>
          <w:ilvl w:val="0"/>
          <w:numId w:val="2"/>
        </w:numPr>
        <w:spacing w:before="40" w:after="40"/>
      </w:pPr>
      <w:r>
        <w:rPr>
          <w:rFonts w:ascii="Arial" w:cs="Arial" w:eastAsia="Arial" w:hAnsi="Arial"/>
          <w:color w:val="333333"/>
          <w:sz w:val="19"/>
          <w:szCs w:val="19"/>
        </w:rPr>
        <w:t xml:space="preserve">7. Licenciamiento en El Salvador (CNAD) iniciado formalmente antes del TGE, con roadmap regulatorio claro para México y Colombia.</w:t>
      </w:r>
    </w:p>
    <w:p>
      <w:pPr>
        <w:spacing w:before="80" w:after="0"/>
      </w:pPr>
      <w:r>
        <w:t xml:space="preserve"/>
      </w:r>
    </w:p>
    <w:p>
      <w:pPr>
        <w:spacing w:before="180" w:after="80"/>
      </w:pPr>
      <w:r>
        <w:rPr>
          <w:rFonts w:ascii="Arial" w:cs="Arial" w:eastAsia="Arial" w:hAnsi="Arial"/>
          <w:b/>
          <w:bCs/>
          <w:color w:val="2C3E50"/>
          <w:sz w:val="22"/>
          <w:szCs w:val="22"/>
        </w:rPr>
        <w:t xml:space="preserve">Red Flags Estructurales</w:t>
      </w:r>
    </w:p>
    <w:p>
      <w:pPr>
        <w:pStyle w:val="ListParagraph"/>
        <w:numPr>
          <w:ilvl w:val="0"/>
          <w:numId w:val="2"/>
        </w:numPr>
        <w:spacing w:before="40" w:after="40"/>
      </w:pPr>
      <w:r>
        <w:rPr>
          <w:rFonts w:ascii="Arial" w:cs="Arial" w:eastAsia="Arial" w:hAnsi="Arial"/>
          <w:color w:val="333333"/>
          <w:sz w:val="19"/>
          <w:szCs w:val="19"/>
        </w:rPr>
        <w:t xml:space="preserve">El 45% del supply en circulación desde TGE sin vesting obligatorio para seed es el mayor riesgo de precio a corto plazo.</w:t>
      </w:r>
    </w:p>
    <w:p>
      <w:pPr>
        <w:pStyle w:val="ListParagraph"/>
        <w:numPr>
          <w:ilvl w:val="0"/>
          <w:numId w:val="2"/>
        </w:numPr>
        <w:spacing w:before="40" w:after="40"/>
      </w:pPr>
      <w:r>
        <w:rPr>
          <w:rFonts w:ascii="Arial" w:cs="Arial" w:eastAsia="Arial" w:hAnsi="Arial"/>
          <w:color w:val="333333"/>
          <w:sz w:val="19"/>
          <w:szCs w:val="19"/>
        </w:rPr>
        <w:t xml:space="preserve">La dependencia de Pyth Network para tres decisiones críticas simultáneas (Throttle, B2 switch, LUKAI) crea un punto único de fallo.</w:t>
      </w:r>
    </w:p>
    <w:p>
      <w:pPr>
        <w:pStyle w:val="ListParagraph"/>
        <w:numPr>
          <w:ilvl w:val="0"/>
          <w:numId w:val="2"/>
        </w:numPr>
        <w:spacing w:before="40" w:after="40"/>
      </w:pPr>
      <w:r>
        <w:rPr>
          <w:rFonts w:ascii="Arial" w:cs="Arial" w:eastAsia="Arial" w:hAnsi="Arial"/>
          <w:color w:val="333333"/>
          <w:sz w:val="19"/>
          <w:szCs w:val="19"/>
        </w:rPr>
        <w:t xml:space="preserve">Las proyecciones de Fase 3 (Market Cap $6B–$9B) son aspiracionales y no tienen precedente validado en el segmento DeFi/Pagos en LatAm.</w:t>
      </w:r>
    </w:p>
    <w:p>
      <w:pPr>
        <w:pStyle w:val="ListParagraph"/>
        <w:numPr>
          <w:ilvl w:val="0"/>
          <w:numId w:val="2"/>
        </w:numPr>
        <w:spacing w:before="40" w:after="40"/>
      </w:pPr>
      <w:r>
        <w:rPr>
          <w:rFonts w:ascii="Arial" w:cs="Arial" w:eastAsia="Arial" w:hAnsi="Arial"/>
          <w:color w:val="333333"/>
          <w:sz w:val="19"/>
          <w:szCs w:val="19"/>
        </w:rPr>
        <w:t xml:space="preserve">LUKAI como IA pedagógica es una promesa de producto sin prototipo validado — riesgo de ejecución técnica significativo.</w:t>
      </w:r>
    </w:p>
    <w:p>
      <w:pPr>
        <w:spacing w:before="80" w:after="0"/>
      </w:pPr>
      <w:r>
        <w:t xml:space="preserve"/>
      </w:r>
    </w:p>
    <w:p>
      <w:pPr>
        <w:spacing w:before="180" w:after="80"/>
      </w:pPr>
      <w:r>
        <w:rPr>
          <w:rFonts w:ascii="Arial" w:cs="Arial" w:eastAsia="Arial" w:hAnsi="Arial"/>
          <w:b/>
          <w:bCs/>
          <w:color w:val="2C3E50"/>
          <w:sz w:val="22"/>
          <w:szCs w:val="22"/>
        </w:rPr>
        <w:t xml:space="preserve">Catalizadores Necesarios para P95</w:t>
      </w:r>
    </w:p>
    <w:p>
      <w:pPr>
        <w:pStyle w:val="ListParagraph"/>
        <w:numPr>
          <w:ilvl w:val="0"/>
          <w:numId w:val="2"/>
        </w:numPr>
        <w:spacing w:before="40" w:after="40"/>
      </w:pPr>
      <w:r>
        <w:rPr>
          <w:rFonts w:ascii="Arial" w:cs="Arial" w:eastAsia="Arial" w:hAnsi="Arial"/>
          <w:color w:val="333333"/>
          <w:sz w:val="19"/>
          <w:szCs w:val="19"/>
        </w:rPr>
        <w:t xml:space="preserve">Ciclo de mercado neutral o alcista en los primeros 6 meses post-TGE — condición externa no controlable.</w:t>
      </w:r>
    </w:p>
    <w:p>
      <w:pPr>
        <w:pStyle w:val="ListParagraph"/>
        <w:numPr>
          <w:ilvl w:val="0"/>
          <w:numId w:val="2"/>
        </w:numPr>
        <w:spacing w:before="40" w:after="40"/>
      </w:pPr>
      <w:r>
        <w:rPr>
          <w:rFonts w:ascii="Arial" w:cs="Arial" w:eastAsia="Arial" w:hAnsi="Arial"/>
          <w:color w:val="333333"/>
          <w:sz w:val="19"/>
          <w:szCs w:val="19"/>
        </w:rPr>
        <w:t xml:space="preserve">Ejecución simultánea de los 4 Frentes Estratégicos — exige un equipo de ejecución excepcional.</w:t>
      </w:r>
    </w:p>
    <w:p>
      <w:pPr>
        <w:pStyle w:val="ListParagraph"/>
        <w:numPr>
          <w:ilvl w:val="0"/>
          <w:numId w:val="2"/>
        </w:numPr>
        <w:spacing w:before="40" w:after="40"/>
      </w:pPr>
      <w:r>
        <w:rPr>
          <w:rFonts w:ascii="Arial" w:cs="Arial" w:eastAsia="Arial" w:hAnsi="Arial"/>
          <w:color w:val="333333"/>
          <w:sz w:val="19"/>
          <w:szCs w:val="19"/>
        </w:rPr>
        <w:t xml:space="preserve">Adopción de 2,000+ usuarios activos mensuales en la App al cierre del Año 1.</w:t>
      </w:r>
    </w:p>
    <w:p>
      <w:pPr>
        <w:pStyle w:val="ListParagraph"/>
        <w:numPr>
          <w:ilvl w:val="0"/>
          <w:numId w:val="2"/>
        </w:numPr>
        <w:spacing w:before="40" w:after="40"/>
      </w:pPr>
      <w:r>
        <w:rPr>
          <w:rFonts w:ascii="Arial" w:cs="Arial" w:eastAsia="Arial" w:hAnsi="Arial"/>
          <w:color w:val="333333"/>
          <w:sz w:val="19"/>
          <w:szCs w:val="19"/>
        </w:rPr>
        <w:t xml:space="preserve">Un catalizador externo de narrativa (integración con Star Atlas, Phantom Wallet, o evento viral orgánico) que amplíe el Motor A sin costo adicional.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Horizonte de viabilidad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Corto plazo (0–12 meses)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Alta incertidumbre. P(éxito) fuertemente dependiente del timing de mercado. No recomendable para capital conservador.</w:t>
            </w:r>
          </w:p>
        </w:tc>
      </w:tr>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Mediano plazo (12–36 meses)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 Motor B2 se activa y la App alcanza 1,000+ MAU, el modelo entra en ciclo virtuoso. Punto de inflexión real.</w:t>
            </w:r>
          </w:p>
        </w:tc>
      </w:tr>
      <w:tr>
        <w:tc>
          <w:tcPr>
            <w:tcW w:type="dxa" w:w="3120"/>
            <w:tcBorders>
              <w:top w:val="single" w:color="CCCCCC" w:sz="1"/>
              <w:left w:val="single" w:color="CCCCCC" w:sz="1"/>
              <w:bottom w:val="single" w:color="CCCCCC" w:sz="1"/>
              <w:right w:val="single" w:color="CCCCCC" w:sz="1"/>
            </w:tcBorders>
            <w:shd w:fill="EAEAEA" w:val="clear"/>
            <w:tcMar>
              <w:top w:type="dxa" w:w="80"/>
              <w:left w:type="dxa" w:w="120"/>
              <w:bottom w:type="dxa" w:w="80"/>
              <w:right w:type="dxa" w:w="120"/>
            </w:tcMar>
          </w:tcPr>
          <w:p>
            <w:r>
              <w:rPr>
                <w:rFonts w:ascii="Arial" w:cs="Arial" w:eastAsia="Arial" w:hAnsi="Arial"/>
                <w:b/>
                <w:bCs/>
                <w:color w:val="2C3E50"/>
                <w:sz w:val="18"/>
                <w:szCs w:val="18"/>
              </w:rPr>
              <w:t xml:space="preserve">Largo plazo (36–60 meses)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 Motor C activo y licencias regulatorias, el perfil de riesgo se acerca al de un neobanco cripto. Altamente atractivo.</w:t>
            </w:r>
          </w:p>
        </w:tc>
      </w:tr>
    </w:tbl>
    <w:p>
      <w:pPr>
        <w:spacing w:before="160" w:after="0"/>
      </w:pPr>
      <w:r>
        <w:t xml:space="preserve"/>
      </w:r>
    </w:p>
    <w:p>
      <w:r>
        <w:br w:type="page"/>
      </w:r>
    </w:p>
    <w:p>
      <w:pPr>
        <w:pStyle w:val="Heading1"/>
        <w:pBdr>
          <w:bottom w:val="single" w:color="C0392B" w:sz="6" w:space="4"/>
        </w:pBdr>
        <w:spacing w:before="340" w:after="120"/>
      </w:pPr>
      <w:r>
        <w:rPr>
          <w:rFonts w:ascii="Arial" w:cs="Arial" w:eastAsia="Arial" w:hAnsi="Arial"/>
          <w:b/>
          <w:bCs/>
          <w:color w:val="1A1A2E"/>
          <w:sz w:val="30"/>
          <w:szCs w:val="30"/>
        </w:rPr>
        <w:t xml:space="preserve">9. PROPUESTA ALTERNATIVA OBJETIVA — RUTA REALISTA AL P95</w:t>
      </w:r>
    </w:p>
    <w:p>
      <w:pPr>
        <w:spacing w:before="60" w:after="60"/>
        <w:jc w:val="both"/>
      </w:pPr>
      <w:r>
        <w:rPr>
          <w:rFonts w:ascii="Arial" w:cs="Arial" w:eastAsia="Arial" w:hAnsi="Arial"/>
          <w:b w:val="false"/>
          <w:bCs w:val="false"/>
          <w:i w:val="false"/>
          <w:iCs w:val="false"/>
          <w:color w:val="222222"/>
          <w:sz w:val="20"/>
          <w:szCs w:val="20"/>
        </w:rPr>
        <w:t xml:space="preserve">El análisis revela que las trayectorias P95 del Vault ($156M–$267M) son alcanzables matemáticamente pero tienen una dependencia crítica en los primeros 90 días que el protocolo actual no resuelve con suficiente robustez. La propuesta alternativa no reemplaza el diseño de LUKASH — lo refuerza con una secuencia de ejecución más conservadora y verificable que maximiza la probabilidad de alcanzar el P95 sin depender del ciclo de mercado.</w:t>
      </w:r>
    </w:p>
    <w:p>
      <w:pPr>
        <w:spacing w:before="80" w:after="0"/>
      </w:pPr>
      <w:r>
        <w:t xml:space="preserve"/>
      </w:r>
    </w:p>
    <w:p>
      <w:pPr>
        <w:spacing w:before="60" w:after="60"/>
        <w:jc w:val="both"/>
      </w:pPr>
      <w:r>
        <w:rPr>
          <w:rFonts w:ascii="Arial" w:cs="Arial" w:eastAsia="Arial" w:hAnsi="Arial"/>
          <w:b w:val="false"/>
          <w:bCs w:val="false"/>
          <w:i/>
          <w:iCs/>
          <w:color w:val="222222"/>
          <w:sz w:val="20"/>
          <w:szCs w:val="20"/>
        </w:rPr>
        <w:t xml:space="preserve">La clave es reconocer que el P95 no se alcanza por suerte — se construye fase a fase. El protocolo tiene razón en los mecanismos; la debilidad está en la secuencia de activación y en los umbrales de validación.</w:t>
      </w:r>
    </w:p>
    <w:p>
      <w:pPr>
        <w:spacing w:before="80" w:after="0"/>
      </w:pPr>
      <w:r>
        <w:t xml:space="preserve"/>
      </w:r>
    </w:p>
    <w:p>
      <w:pPr>
        <w:pStyle w:val="Heading2"/>
        <w:spacing w:before="240" w:after="100"/>
      </w:pPr>
      <w:r>
        <w:rPr>
          <w:rFonts w:ascii="Arial" w:cs="Arial" w:eastAsia="Arial" w:hAnsi="Arial"/>
          <w:b/>
          <w:bCs/>
          <w:color w:val="C0392B"/>
          <w:sz w:val="24"/>
          <w:szCs w:val="24"/>
        </w:rPr>
        <w:t xml:space="preserve">9.1 — RECONFIGURACIÓN DE LAS 4 FASES PARA P95</w:t>
      </w:r>
    </w:p>
    <w:p>
      <w:pPr>
        <w:spacing w:before="60" w:after="60"/>
        <w:jc w:val="both"/>
      </w:pPr>
      <w:r>
        <w:rPr>
          <w:rFonts w:ascii="Arial" w:cs="Arial" w:eastAsia="Arial" w:hAnsi="Arial"/>
          <w:b w:val="false"/>
          <w:bCs w:val="false"/>
          <w:i w:val="false"/>
          <w:iCs w:val="false"/>
          <w:color w:val="222222"/>
          <w:sz w:val="20"/>
          <w:szCs w:val="20"/>
        </w:rPr>
        <w:t xml:space="preserve">Las 4 fases del protocolo se mantienen (Génesis → App/B0 → Madurez/B2 → Soberanía) pero se redefinen los umbrales de transición con base en métricas verificables, no en proyecciones de mercado.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Fase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Objetivo</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Palanca Principal</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Hito Verificable</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Meta Vault</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FASE 1
Génesis
(0–90 días)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Construir liquidez real y eliminar la dependencia del ciclo de mercado como variable de arranque.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Market Maker firmado antes del TGE. LP Fundador 365d obligatorio para todos los inversionistas seed.</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17"/>
                <w:szCs w:val="17"/>
              </w:rPr>
              <w:t xml:space="preserve">Volumen Motor A &gt; $3M/día promedio al cierre del Día 30. LP &gt; $2M en Meteora.</w:t>
            </w:r>
          </w:p>
        </w:tc>
        <w:tc>
          <w:tcPr>
            <w:tcW w:type="dxa" w:w="19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$3M–$8M
Vault Core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FASE 2A
App B0
(90–180 días)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Validar la App con usuarios reales antes de escalar el marketing. Calidad sobre cantidad.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3 KOLs DeFi/LatAm con vesting $LUKA confirmado. Dashboard on-chain live. Usuarios reales, no bots.</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17"/>
                <w:szCs w:val="17"/>
              </w:rPr>
              <w:t xml:space="preserve">1,000 MAU activos al Día 90. K(t) &gt; $10M. Throttle en modo NORMAL o ACELERADO.</w:t>
            </w:r>
          </w:p>
        </w:tc>
        <w:tc>
          <w:tcPr>
            <w:tcW w:type="dxa" w:w="19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$10M–$18M
Vault Core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FASE 2B
Motor B2
(180–365 días)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Activar B2 de forma anticipada via capital institucional adicional si el mercado no lo lleva organicamente.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Ronda de inversión institucional dirigida a llevar el Vault de $15M a $25M como catalizador forzado, no como resultado pasivo.</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17"/>
                <w:szCs w:val="17"/>
              </w:rPr>
              <w:t xml:space="preserve">K(t) = $25M verificado on-chain. B2 activado. 2,000+ MAU. R_op &gt; $500K.</w:t>
            </w:r>
          </w:p>
        </w:tc>
        <w:tc>
          <w:tcPr>
            <w:tcW w:type="dxa" w:w="19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$25M–$40M
Vault Core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FASE 3
Soberanía
(Año 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Motor C activo con licencias regulatorias. LUKAI como agente autónomo de pagos.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7"/>
                <w:szCs w:val="17"/>
              </w:rPr>
              <w:t xml:space="preserve">Licencias IFPE (México) y SEDPE (Colombia). Integración Phantom/Backpack como payment native. SPVs para RWA.</w:t>
            </w:r>
          </w:p>
        </w:tc>
        <w:tc>
          <w:tcPr>
            <w:tcW w:type="dxa" w:w="20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Arial" w:cs="Arial" w:eastAsia="Arial" w:hAnsi="Arial"/>
                <w:color w:val="333333"/>
                <w:sz w:val="17"/>
                <w:szCs w:val="17"/>
              </w:rPr>
              <w:t xml:space="preserve">100K+ transacciones mensuales Motor C. Vault Core &gt; $50M. Supply = 3.3B.</w:t>
            </w:r>
          </w:p>
        </w:tc>
        <w:tc>
          <w:tcPr>
            <w:tcW w:type="dxa" w:w="1960"/>
            <w:tcBorders>
              <w:top w:val="single" w:color="CCCCCC" w:sz="1"/>
              <w:left w:val="single" w:color="CCCCCC" w:sz="1"/>
              <w:bottom w:val="single" w:color="CCCCCC" w:sz="1"/>
              <w:right w:val="single" w:color="CCCCCC" w:sz="1"/>
            </w:tcBorders>
            <w:shd w:fill="EAF6EE"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$50M–$156M
Vault Core (P95)</w:t>
            </w:r>
          </w:p>
        </w:tc>
      </w:tr>
    </w:tbl>
    <w:p>
      <w:pPr>
        <w:spacing w:before="80" w:after="0"/>
      </w:pPr>
      <w:r>
        <w:t xml:space="preserve"/>
      </w:r>
    </w:p>
    <w:p>
      <w:pPr>
        <w:pStyle w:val="Heading2"/>
        <w:spacing w:before="240" w:after="100"/>
      </w:pPr>
      <w:r>
        <w:rPr>
          <w:rFonts w:ascii="Arial" w:cs="Arial" w:eastAsia="Arial" w:hAnsi="Arial"/>
          <w:b/>
          <w:bCs/>
          <w:color w:val="C0392B"/>
          <w:sz w:val="24"/>
          <w:szCs w:val="24"/>
        </w:rPr>
        <w:t xml:space="preserve">9.2 — AJUSTES TÉCNICOS RECOMENDADOS PARA MAXIMIZAR P95</w:t>
      </w:r>
    </w:p>
    <w:p>
      <w:pPr>
        <w:spacing w:before="180" w:after="80"/>
      </w:pPr>
      <w:r>
        <w:rPr>
          <w:rFonts w:ascii="Arial" w:cs="Arial" w:eastAsia="Arial" w:hAnsi="Arial"/>
          <w:b/>
          <w:bCs/>
          <w:color w:val="2C3E50"/>
          <w:sz w:val="22"/>
          <w:szCs w:val="22"/>
        </w:rPr>
        <w:t xml:space="preserve">Ajuste 1 — Eliminación del Riesgo de Vesting Seed</w:t>
      </w:r>
    </w:p>
    <w:p>
      <w:pPr>
        <w:spacing w:before="60" w:after="60"/>
        <w:jc w:val="both"/>
      </w:pPr>
      <w:r>
        <w:rPr>
          <w:rFonts w:ascii="Arial" w:cs="Arial" w:eastAsia="Arial" w:hAnsi="Arial"/>
          <w:b w:val="false"/>
          <w:bCs w:val="false"/>
          <w:i w:val="false"/>
          <w:iCs w:val="false"/>
          <w:color w:val="222222"/>
          <w:sz w:val="20"/>
          <w:szCs w:val="20"/>
        </w:rPr>
        <w:t xml:space="preserve">El protocolo recomienda pero no obliga el vesting para inversores seed. Para P95 institucional, el vesting seed debe ser obligatorio con cliff de 12 meses y liberación lineal de 24 meses. Esto reduce la presión vendedora inicial y permite que el Motor A construya el Vault antes de que el supply seed entre al mercado.</w:t>
      </w:r>
    </w:p>
    <w:p>
      <w:pPr>
        <w:spacing w:before="60" w:after="60"/>
        <w:jc w:val="both"/>
      </w:pPr>
      <w:r>
        <w:rPr>
          <w:rFonts w:ascii="Arial" w:cs="Arial" w:eastAsia="Arial" w:hAnsi="Arial"/>
          <w:b w:val="false"/>
          <w:bCs w:val="false"/>
          <w:i/>
          <w:iCs/>
          <w:color w:val="555555"/>
          <w:sz w:val="20"/>
          <w:szCs w:val="20"/>
        </w:rPr>
        <w:t xml:space="preserve">Impacto estimado en simulación: +8–12% en Vault mediana al Año 1 por reducción de presión vendedora en primeras 8 semanas.</w:t>
      </w:r>
    </w:p>
    <w:p>
      <w:pPr>
        <w:spacing w:before="80" w:after="0"/>
      </w:pPr>
      <w:r>
        <w:t xml:space="preserve"/>
      </w:r>
    </w:p>
    <w:p>
      <w:pPr>
        <w:spacing w:before="180" w:after="80"/>
      </w:pPr>
      <w:r>
        <w:rPr>
          <w:rFonts w:ascii="Arial" w:cs="Arial" w:eastAsia="Arial" w:hAnsi="Arial"/>
          <w:b/>
          <w:bCs/>
          <w:color w:val="2C3E50"/>
          <w:sz w:val="22"/>
          <w:szCs w:val="22"/>
        </w:rPr>
        <w:t xml:space="preserve">Ajuste 2 — Redundancia de Oráculo con Fallback</w:t>
      </w:r>
    </w:p>
    <w:p>
      <w:pPr>
        <w:spacing w:before="60" w:after="60"/>
        <w:jc w:val="both"/>
      </w:pPr>
      <w:r>
        <w:rPr>
          <w:rFonts w:ascii="Arial" w:cs="Arial" w:eastAsia="Arial" w:hAnsi="Arial"/>
          <w:b w:val="false"/>
          <w:bCs w:val="false"/>
          <w:i w:val="false"/>
          <w:iCs w:val="false"/>
          <w:color w:val="222222"/>
          <w:sz w:val="20"/>
          <w:szCs w:val="20"/>
        </w:rPr>
        <w:t xml:space="preserve">La dependencia de Pyth Network para el Throttle, el switch B2, y el módulo contra-cíclico debe complementarse con un mecanismo de fallback a Switchboard (ya mencionado en el protocolo) y un modo de emergencia manual vía Tridente Multisig si ambos oráculos divergen en más del 5% durante más de 2 horas. El protocolo menciona esto conceptualmente pero no lo especifica como parámetro formal en el Blueprint de Smart Contracts.</w:t>
      </w:r>
    </w:p>
    <w:p>
      <w:pPr>
        <w:spacing w:before="80" w:after="0"/>
      </w:pPr>
      <w:r>
        <w:t xml:space="preserve"/>
      </w:r>
    </w:p>
    <w:p>
      <w:pPr>
        <w:spacing w:before="180" w:after="80"/>
      </w:pPr>
      <w:r>
        <w:rPr>
          <w:rFonts w:ascii="Arial" w:cs="Arial" w:eastAsia="Arial" w:hAnsi="Arial"/>
          <w:b/>
          <w:bCs/>
          <w:color w:val="2C3E50"/>
          <w:sz w:val="22"/>
          <w:szCs w:val="22"/>
        </w:rPr>
        <w:t xml:space="preserve">Ajuste 3 — Capital de Reserva Institucional para Activación Forzada de B2</w:t>
      </w:r>
    </w:p>
    <w:p>
      <w:pPr>
        <w:spacing w:before="60" w:after="60"/>
        <w:jc w:val="both"/>
      </w:pPr>
      <w:r>
        <w:rPr>
          <w:rFonts w:ascii="Arial" w:cs="Arial" w:eastAsia="Arial" w:hAnsi="Arial"/>
          <w:b w:val="false"/>
          <w:bCs w:val="false"/>
          <w:i w:val="false"/>
          <w:iCs w:val="false"/>
          <w:color w:val="222222"/>
          <w:sz w:val="20"/>
          <w:szCs w:val="20"/>
        </w:rPr>
        <w:t xml:space="preserve">En lugar de esperar que el Motor A lleve el Vault orgánicamente a $25M (K_min), la propuesta alternativa incluye una reserva de capital institucional de $5M–$8M que puede inyectarse directamente al Vault Core como Capa 3 adicional si K(t) no alcanza $20M al Día 180. Esta inyección activa el B2 de forma anticipada y convierte el hito de $25M en un evento controlable, no en una esperanza de mercado.</w:t>
      </w:r>
    </w:p>
    <w:p>
      <w:pPr>
        <w:spacing w:before="60" w:after="60"/>
        <w:jc w:val="both"/>
      </w:pPr>
      <w:r>
        <w:rPr>
          <w:rFonts w:ascii="Arial" w:cs="Arial" w:eastAsia="Arial" w:hAnsi="Arial"/>
          <w:b w:val="false"/>
          <w:bCs w:val="false"/>
          <w:i/>
          <w:iCs/>
          <w:color w:val="555555"/>
          <w:sz w:val="20"/>
          <w:szCs w:val="20"/>
        </w:rPr>
        <w:t xml:space="preserve">Costo: $5M–$8M en capital adicional. Beneficio: Reduce P(B2 Año 1) de 53.6% (base) a &gt;90% independientemente del ciclo de mercado.</w:t>
      </w:r>
    </w:p>
    <w:p>
      <w:pPr>
        <w:spacing w:before="80" w:after="0"/>
      </w:pPr>
      <w:r>
        <w:t xml:space="preserve"/>
      </w:r>
    </w:p>
    <w:p>
      <w:pPr>
        <w:spacing w:before="180" w:after="80"/>
      </w:pPr>
      <w:r>
        <w:rPr>
          <w:rFonts w:ascii="Arial" w:cs="Arial" w:eastAsia="Arial" w:hAnsi="Arial"/>
          <w:b/>
          <w:bCs/>
          <w:color w:val="2C3E50"/>
          <w:sz w:val="22"/>
          <w:szCs w:val="22"/>
        </w:rPr>
        <w:t xml:space="preserve">Ajuste 4 — Frente 3 como Primera Prioridad, no Tercera</w:t>
      </w:r>
    </w:p>
    <w:p>
      <w:pPr>
        <w:spacing w:before="60" w:after="60"/>
        <w:jc w:val="both"/>
      </w:pPr>
      <w:r>
        <w:rPr>
          <w:rFonts w:ascii="Arial" w:cs="Arial" w:eastAsia="Arial" w:hAnsi="Arial"/>
          <w:b w:val="false"/>
          <w:bCs w:val="false"/>
          <w:i w:val="false"/>
          <w:iCs w:val="false"/>
          <w:color w:val="222222"/>
          <w:sz w:val="20"/>
          <w:szCs w:val="20"/>
        </w:rPr>
        <w:t xml:space="preserve">El Dashboard del Vault está listado como Frente 3 en el protocolo original. El análisis institucional lo reclasifica como Frente 0 — debe estar en producción antes del TGE, no como herramienta de marketing posterior. Un dashboard verificable from day one es la diferencia entre un proyecto que pide confianza y uno que la demuestra.</w:t>
      </w:r>
    </w:p>
    <w:p>
      <w:pPr>
        <w:spacing w:before="60" w:after="60"/>
        <w:jc w:val="both"/>
      </w:pPr>
      <w:r>
        <w:rPr>
          <w:rFonts w:ascii="Arial" w:cs="Arial" w:eastAsia="Arial" w:hAnsi="Arial"/>
          <w:b w:val="false"/>
          <w:bCs w:val="false"/>
          <w:i/>
          <w:iCs/>
          <w:color w:val="555555"/>
          <w:sz w:val="20"/>
          <w:szCs w:val="20"/>
        </w:rPr>
        <w:t xml:space="preserve">Impacto: La narrativa de progreso colectivo (+15% en volumen orgánico) solo funciona si el dashboard existe desde el día 1. Si se lanza semanas después del TGE, la oportunidad de coordinación social se pierde.</w:t>
      </w:r>
    </w:p>
    <w:p>
      <w:pPr>
        <w:spacing w:before="80" w:after="0"/>
      </w:pPr>
      <w:r>
        <w:t xml:space="preserve"/>
      </w:r>
    </w:p>
    <w:p>
      <w:pPr>
        <w:spacing w:before="180" w:after="80"/>
      </w:pPr>
      <w:r>
        <w:rPr>
          <w:rFonts w:ascii="Arial" w:cs="Arial" w:eastAsia="Arial" w:hAnsi="Arial"/>
          <w:b/>
          <w:bCs/>
          <w:color w:val="2C3E50"/>
          <w:sz w:val="22"/>
          <w:szCs w:val="22"/>
        </w:rPr>
        <w:t xml:space="preserve">Ajuste 5 — Reducción del Supply en Circulación Inicial</w:t>
      </w:r>
    </w:p>
    <w:p>
      <w:pPr>
        <w:spacing w:before="60" w:after="60"/>
        <w:jc w:val="both"/>
      </w:pPr>
      <w:r>
        <w:rPr>
          <w:rFonts w:ascii="Arial" w:cs="Arial" w:eastAsia="Arial" w:hAnsi="Arial"/>
          <w:b w:val="false"/>
          <w:bCs w:val="false"/>
          <w:i w:val="false"/>
          <w:iCs w:val="false"/>
          <w:color w:val="222222"/>
          <w:sz w:val="20"/>
          <w:szCs w:val="20"/>
        </w:rPr>
        <w:t xml:space="preserve">El protocolo actual pone 4,500M tokens (45%) en circulación desde el TGE. La propuesta alternativa recomienda reducir esto al 25–30% (2,500M–3,000M) con liberación lineal del 15–20% adicional en días 30, 60 y 90 condicionada a hitos del Vault (K(t) &gt; $5M, $10M, $15M). Esto transforma el supply en una herramienta de incentivos alineados con el crecimiento del Vault, no en una fuente de presión vendedora desde el arranque.</w:t>
      </w:r>
    </w:p>
    <w:p>
      <w:pPr>
        <w:spacing w:before="80" w:after="0"/>
      </w:pPr>
      <w:r>
        <w:t xml:space="preserve"/>
      </w:r>
    </w:p>
    <w:p>
      <w:pPr>
        <w:pStyle w:val="Heading2"/>
        <w:spacing w:before="240" w:after="100"/>
      </w:pPr>
      <w:r>
        <w:rPr>
          <w:rFonts w:ascii="Arial" w:cs="Arial" w:eastAsia="Arial" w:hAnsi="Arial"/>
          <w:b/>
          <w:bCs/>
          <w:color w:val="C0392B"/>
          <w:sz w:val="24"/>
          <w:szCs w:val="24"/>
        </w:rPr>
        <w:t xml:space="preserve">9.3 — TABLA DE PROBABILIDADES CON AJUSTES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Escenario</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P(B2 Año 1) Base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P(B2 Año 1) con Ajustes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Vault P50 Año 5 con Ajustes</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Sin frentes activos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53.6%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N/A — ajustes son obligatorios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N/A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4 Frentes del protocolo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82.3%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88–92% (ajuste 3 forzado)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$70M–$90M</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4 Frentes + 5 Ajustes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&gt;95% en mercado neutral/bull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$90M–$130M (P65–P75)</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4 Frentes + 5 Ajustes + Bull market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&gt;97%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$156M–$267M (P95)</w:t>
            </w:r>
          </w:p>
        </w:tc>
      </w:tr>
    </w:tbl>
    <w:p>
      <w:pPr>
        <w:spacing w:before="80" w:after="0"/>
      </w:pPr>
      <w:r>
        <w:t xml:space="preserve"/>
      </w:r>
    </w:p>
    <w:p>
      <w:pPr>
        <w:pStyle w:val="Heading2"/>
        <w:spacing w:before="240" w:after="100"/>
      </w:pPr>
      <w:r>
        <w:rPr>
          <w:rFonts w:ascii="Arial" w:cs="Arial" w:eastAsia="Arial" w:hAnsi="Arial"/>
          <w:b/>
          <w:bCs/>
          <w:color w:val="C0392B"/>
          <w:sz w:val="24"/>
          <w:szCs w:val="24"/>
        </w:rPr>
        <w:t xml:space="preserve">9.4 — MODELO DE INVERSIÓN INSTITUCIONAL RECOMENDADO</w:t>
      </w:r>
    </w:p>
    <w:p>
      <w:pPr>
        <w:spacing w:before="60" w:after="60"/>
        <w:jc w:val="both"/>
      </w:pPr>
      <w:r>
        <w:rPr>
          <w:rFonts w:ascii="Arial" w:cs="Arial" w:eastAsia="Arial" w:hAnsi="Arial"/>
          <w:b w:val="false"/>
          <w:bCs w:val="false"/>
          <w:i w:val="false"/>
          <w:iCs w:val="false"/>
          <w:color w:val="222222"/>
          <w:sz w:val="20"/>
          <w:szCs w:val="20"/>
        </w:rPr>
        <w:t xml:space="preserve">En lugar de una inversión de capital único, la propuesta institucional recomienda una estructura de inversión en 3 tramos condicionados a hitos verificables on-chain: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3000"/>
        <w:gridCol w:w="280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Tramo</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Capital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Condición de Desembolso</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Propósito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Tramo 1
(Pre-TGE)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$300K–$500K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Auditorías completadas + MM confirmado + Dashboard live + vesting seed obligatorio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Garantizar las condiciones mínimas de inversión antes del lanzamiento.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Tramo 2
(Día 60–90)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$1M–$2M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K(t) &gt; $8M verificado on-chain + 500+ MAU activos en App + Throttle en modo NORMAL o ACELERADO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Demostración de que el modelo funciona en producción real. Hito de confianza.</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Tramo 3
(Día 150–180)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$5M–$8M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Inyección directa al Vault Core para llevar K(t) a $25M si el mercado no lo hace orgánicamente. Solo si los Tramos 1 y 2 muestran métricas saludables.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222222"/>
                <w:sz w:val="18"/>
                <w:szCs w:val="18"/>
              </w:rPr>
              <w:t xml:space="preserve">Catalizar B2 de forma controlada. Convertir el hito de mercado en hito institucional.</w:t>
            </w:r>
          </w:p>
        </w:tc>
      </w:tr>
    </w:tbl>
    <w:p>
      <w:pPr>
        <w:spacing w:before="80" w:after="0"/>
      </w:pPr>
      <w:r>
        <w:t xml:space="preserve"/>
      </w:r>
    </w:p>
    <w:p>
      <w:pPr>
        <w:spacing w:before="60" w:after="60"/>
        <w:jc w:val="both"/>
      </w:pPr>
      <w:r>
        <w:rPr>
          <w:rFonts w:ascii="Arial" w:cs="Arial" w:eastAsia="Arial" w:hAnsi="Arial"/>
          <w:b w:val="false"/>
          <w:bCs w:val="false"/>
          <w:i/>
          <w:iCs/>
          <w:color w:val="222222"/>
          <w:sz w:val="20"/>
          <w:szCs w:val="20"/>
        </w:rPr>
        <w:t xml:space="preserve">Esta estructura protege al inversionista en el escenario adverso (si el Tramo 1 muestra señales de alarma, los Tramos 2 y 3 no se desembolsan), y maximiza el impacto en el escenario favorable (el Tramo 3 activa B2 de forma casi garantizada sin depender del ciclo de mercado).</w:t>
      </w:r>
    </w:p>
    <w:p>
      <w:pPr>
        <w:spacing w:before="160" w:after="0"/>
      </w:pPr>
      <w:r>
        <w:t xml:space="preserve"/>
      </w:r>
    </w:p>
    <w:p>
      <w:pPr>
        <w:pStyle w:val="Heading1"/>
        <w:pBdr>
          <w:bottom w:val="single" w:color="C0392B" w:sz="6" w:space="4"/>
        </w:pBdr>
        <w:spacing w:before="340" w:after="120"/>
      </w:pPr>
      <w:r>
        <w:rPr>
          <w:rFonts w:ascii="Arial" w:cs="Arial" w:eastAsia="Arial" w:hAnsi="Arial"/>
          <w:b/>
          <w:bCs/>
          <w:color w:val="1A1A2E"/>
          <w:sz w:val="30"/>
          <w:szCs w:val="30"/>
        </w:rPr>
        <w:t xml:space="preserve">10. CONCLUSIÓN — DICTAMEN DEL COMITÉ</w:t>
      </w:r>
    </w:p>
    <w:p>
      <w:pPr>
        <w:spacing w:before="60" w:after="60"/>
        <w:jc w:val="both"/>
      </w:pPr>
      <w:r>
        <w:rPr>
          <w:rFonts w:ascii="Arial" w:cs="Arial" w:eastAsia="Arial" w:hAnsi="Arial"/>
          <w:b w:val="false"/>
          <w:bCs w:val="false"/>
          <w:i w:val="false"/>
          <w:iCs w:val="false"/>
          <w:color w:val="222222"/>
          <w:sz w:val="20"/>
          <w:szCs w:val="20"/>
        </w:rPr>
        <w:t xml:space="preserve">El Protocolo LUKASH v3.0 representa un diseño económico genuinamente innovador en el segmento de tokens colateralizados sobre Solana. La arquitectura de 3 motores, el Vault con gestión contra-cíclica, y el mecanismo de Precio KASH son diferenciadores estructurales que ningún proyecto memecoin comparable posee. El modelo matemático es internamente consistente y los mecanismos de protección (throttle, UCR, Circuit Breaker) son adecuados.</w:t>
      </w:r>
    </w:p>
    <w:p>
      <w:pPr>
        <w:spacing w:before="80" w:after="0"/>
      </w:pPr>
      <w:r>
        <w:t xml:space="preserve"/>
      </w:r>
    </w:p>
    <w:p>
      <w:pPr>
        <w:spacing w:before="60" w:after="60"/>
        <w:jc w:val="both"/>
      </w:pPr>
      <w:r>
        <w:rPr>
          <w:rFonts w:ascii="Arial" w:cs="Arial" w:eastAsia="Arial" w:hAnsi="Arial"/>
          <w:b w:val="false"/>
          <w:bCs w:val="false"/>
          <w:i w:val="false"/>
          <w:iCs w:val="false"/>
          <w:color w:val="222222"/>
          <w:sz w:val="20"/>
          <w:szCs w:val="20"/>
        </w:rPr>
        <w:t xml:space="preserve">Sin embargo, el perfil de riesgo actual es de alto riesgo especulativo controlado, no de inversión institucional estándar. La diferencia entre estos dos perfiles está en la ejecución, no en el diseño. El protocolo puede cruzar esa frontera si implementa los 7 pre-requisitos no negociables y los 5 ajustes técnicos propuestos.</w:t>
      </w:r>
    </w:p>
    <w:p>
      <w:pPr>
        <w:spacing w:before="80" w:after="0"/>
      </w:pPr>
      <w:r>
        <w:t xml:space="preserve"/>
      </w:r>
    </w:p>
    <w:p>
      <w:pPr>
        <w:spacing w:before="60" w:after="60"/>
        <w:jc w:val="both"/>
      </w:pPr>
      <w:r>
        <w:rPr>
          <w:rFonts w:ascii="Arial" w:cs="Arial" w:eastAsia="Arial" w:hAnsi="Arial"/>
          <w:b w:val="false"/>
          <w:bCs w:val="false"/>
          <w:i w:val="false"/>
          <w:iCs w:val="false"/>
          <w:color w:val="222222"/>
          <w:sz w:val="20"/>
          <w:szCs w:val="20"/>
        </w:rPr>
        <w:t xml:space="preserve">La propuesta de inversión en 3 tramos condicionados es la estructura óptima para capital institucional: captura la asimetría favorable del P95 mientras limita el downside a los tramos no desembolsados si la ejecución falla. El veredicto final, contingente a las condiciones enumeradas, es:</w:t>
      </w:r>
    </w:p>
    <w:p>
      <w:pPr>
        <w:spacing w:before="80" w:after="0"/>
      </w:pPr>
      <w:r>
        <w:t xml:space="preserve"/>
      </w:r>
    </w:p>
    <w:p>
      <w:pPr>
        <w:shd w:fill="27AE60" w:val="clear"/>
        <w:spacing w:before="120" w:after="120"/>
        <w:jc w:val="center"/>
      </w:pPr>
      <w:r>
        <w:rPr>
          <w:rFonts w:ascii="Arial" w:cs="Arial" w:eastAsia="Arial" w:hAnsi="Arial"/>
          <w:b/>
          <w:bCs/>
          <w:color w:val="FFFFFF"/>
          <w:sz w:val="26"/>
          <w:szCs w:val="26"/>
        </w:rPr>
        <w:t xml:space="preserve">INVERTIBLE CON CONDICIONES — P95 ALCANZABLE CON EJECUCIÓN EXCELENTE</w:t>
      </w:r>
    </w:p>
    <w:p>
      <w:pPr>
        <w:spacing w:before="80" w:after="0"/>
      </w:pPr>
      <w:r>
        <w:t xml:space="preserve"/>
      </w:r>
    </w:p>
    <w:p>
      <w:pPr>
        <w:spacing w:before="60" w:after="60"/>
        <w:jc w:val="center"/>
      </w:pPr>
      <w:r>
        <w:rPr>
          <w:rFonts w:ascii="Arial" w:cs="Arial" w:eastAsia="Arial" w:hAnsi="Arial"/>
          <w:b w:val="false"/>
          <w:bCs w:val="false"/>
          <w:i/>
          <w:iCs/>
          <w:color w:val="888888"/>
          <w:sz w:val="20"/>
          <w:szCs w:val="20"/>
        </w:rPr>
        <w:t xml:space="preserve">Comité de Inversión Institucional — Evaluación sobre Protocolo LUKASH v3.0 — Marzo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2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2026-03-02T22:11:05.963Z</dcterms:created>
  <dcterms:modified xsi:type="dcterms:W3CDTF">2026-03-02T22:11:05.963Z</dcterms:modified>
</cp:coreProperties>
</file>

<file path=docProps/custom.xml><?xml version="1.0" encoding="utf-8"?>
<Properties xmlns="http://schemas.openxmlformats.org/officeDocument/2006/custom-properties" xmlns:vt="http://schemas.openxmlformats.org/officeDocument/2006/docPropsVTypes"/>
</file>