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0"/>
        <w:jc w:val="center"/>
      </w:pPr>
      <w:r>
        <w:rPr>
          <w:rFonts w:ascii="Arial" w:cs="Arial" w:eastAsia="Arial" w:hAnsi="Arial"/>
          <w:b/>
          <w:bCs/>
          <w:color w:val="B8860B"/>
          <w:sz w:val="72"/>
          <w:szCs w:val="72"/>
        </w:rPr>
        <w:t xml:space="preserve">PROYECTO LUKASH</w:t>
      </w:r>
    </w:p>
    <w:p>
      <w:pPr>
        <w:spacing w:before="40" w:after="80"/>
        <w:jc w:val="center"/>
      </w:pPr>
      <w:r>
        <w:rPr>
          <w:rFonts w:ascii="Arial" w:cs="Arial" w:eastAsia="Arial" w:hAnsi="Arial"/>
          <w:b/>
          <w:bCs/>
          <w:color w:val="FFFFFF"/>
          <w:sz w:val="48"/>
          <w:szCs w:val="48"/>
        </w:rPr>
        <w:t xml:space="preserve">PROTOCOLO v3.1</w:t>
      </w:r>
    </w:p>
    <w:p>
      <w:pPr>
        <w:pBdr>
          <w:bottom w:val="single" w:color="B8860B" w:sz="8" w:space="2"/>
        </w:pBdr>
        <w:spacing w:before="0" w:after="0"/>
        <w:jc w:val="center"/>
      </w:pPr>
      <w:r>
        <w:rPr>
          <w:sz w:val="24"/>
          <w:szCs w:val="24"/>
        </w:rPr>
        <w:t xml:space="preserve"/>
      </w:r>
    </w:p>
    <w:p>
      <w:pPr>
        <w:spacing w:before="120" w:after="0"/>
      </w:pPr>
      <w:r>
        <w:t xml:space="preserve"/>
      </w:r>
    </w:p>
    <w:p>
      <w:pPr>
        <w:jc w:val="center"/>
      </w:pPr>
      <w:r>
        <w:rPr>
          <w:rFonts w:ascii="Arial" w:cs="Arial" w:eastAsia="Arial" w:hAnsi="Arial"/>
          <w:b/>
          <w:bCs/>
          <w:color w:val="FFFFFF"/>
          <w:sz w:val="32"/>
          <w:szCs w:val="32"/>
        </w:rPr>
        <w:t xml:space="preserve">SIMULACIÓN MONTE CARLO DE ALTA FIDELIDAD</w:t>
      </w:r>
    </w:p>
    <w:p>
      <w:pPr>
        <w:spacing w:before="60" w:after="180"/>
        <w:jc w:val="center"/>
      </w:pPr>
      <w:r>
        <w:rPr>
          <w:rFonts w:ascii="Arial" w:cs="Arial" w:eastAsia="Arial" w:hAnsi="Arial"/>
          <w:i/>
          <w:iCs/>
          <w:color w:val="CCCCCC"/>
          <w:sz w:val="22"/>
          <w:szCs w:val="22"/>
        </w:rPr>
        <w:t xml:space="preserve">Risk Assessment Institucional · 5,000 Iteraciones · 1,825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8860B" w:sz="4"/>
              <w:left w:val="single" w:color="B8860B" w:sz="4"/>
              <w:bottom w:val="single" w:color="B8860B" w:sz="4"/>
              <w:right w:val="single" w:color="B8860B" w:sz="4"/>
            </w:tcBorders>
            <w:shd w:fill="2C2A24" w:val="clear"/>
            <w:tcMar>
              <w:top w:type="dxa" w:w="120"/>
              <w:left w:type="dxa" w:w="120"/>
              <w:bottom w:type="dxa" w:w="120"/>
              <w:right w:type="dxa" w:w="120"/>
            </w:tcMar>
          </w:tcPr>
          <w:p>
            <w:pPr>
              <w:jc w:val="center"/>
            </w:pPr>
            <w:r>
              <w:rPr>
                <w:rFonts w:ascii="Arial" w:cs="Arial" w:eastAsia="Arial" w:hAnsi="Arial"/>
                <w:b/>
                <w:bCs/>
                <w:color w:val="B8860B"/>
                <w:sz w:val="52"/>
                <w:szCs w:val="52"/>
              </w:rPr>
              <w:t xml:space="preserve">$37.2M</w:t>
            </w:r>
          </w:p>
          <w:p>
            <w:pPr>
              <w:jc w:val="center"/>
            </w:pPr>
            <w:r>
              <w:rPr>
                <w:rFonts w:ascii="Arial" w:cs="Arial" w:eastAsia="Arial" w:hAnsi="Arial"/>
                <w:color w:val="FFFFFF"/>
                <w:sz w:val="16"/>
                <w:szCs w:val="16"/>
              </w:rPr>
              <w:t xml:space="preserve">Vault P50 — Año 5</w:t>
            </w:r>
          </w:p>
        </w:tc>
        <w:tc>
          <w:tcPr>
            <w:tcW w:type="dxa" w:w="2340"/>
            <w:tcBorders>
              <w:top w:val="single" w:color="B8860B" w:sz="4"/>
              <w:left w:val="single" w:color="B8860B" w:sz="4"/>
              <w:bottom w:val="single" w:color="B8860B" w:sz="4"/>
              <w:right w:val="single" w:color="B8860B" w:sz="4"/>
            </w:tcBorders>
            <w:shd w:fill="2C2A24" w:val="clear"/>
            <w:tcMar>
              <w:top w:type="dxa" w:w="120"/>
              <w:left w:type="dxa" w:w="120"/>
              <w:bottom w:type="dxa" w:w="120"/>
              <w:right w:type="dxa" w:w="120"/>
            </w:tcMar>
          </w:tcPr>
          <w:p>
            <w:pPr>
              <w:jc w:val="center"/>
            </w:pPr>
            <w:r>
              <w:rPr>
                <w:rFonts w:ascii="Arial" w:cs="Arial" w:eastAsia="Arial" w:hAnsi="Arial"/>
                <w:b/>
                <w:bCs/>
                <w:color w:val="2ECC71"/>
                <w:sz w:val="52"/>
                <w:szCs w:val="52"/>
              </w:rPr>
              <w:t xml:space="preserve">0.0%</w:t>
            </w:r>
          </w:p>
          <w:p>
            <w:pPr>
              <w:jc w:val="center"/>
            </w:pPr>
            <w:r>
              <w:rPr>
                <w:rFonts w:ascii="Arial" w:cs="Arial" w:eastAsia="Arial" w:hAnsi="Arial"/>
                <w:color w:val="FFFFFF"/>
                <w:sz w:val="16"/>
                <w:szCs w:val="16"/>
              </w:rPr>
              <w:t xml:space="preserve">Riesgo de Ruina Total</w:t>
            </w:r>
          </w:p>
        </w:tc>
        <w:tc>
          <w:tcPr>
            <w:tcW w:type="dxa" w:w="2340"/>
            <w:tcBorders>
              <w:top w:val="single" w:color="B8860B" w:sz="4"/>
              <w:left w:val="single" w:color="B8860B" w:sz="4"/>
              <w:bottom w:val="single" w:color="B8860B" w:sz="4"/>
              <w:right w:val="single" w:color="B8860B" w:sz="4"/>
            </w:tcBorders>
            <w:shd w:fill="2C2A24" w:val="clear"/>
            <w:tcMar>
              <w:top w:type="dxa" w:w="120"/>
              <w:left w:type="dxa" w:w="120"/>
              <w:bottom w:type="dxa" w:w="120"/>
              <w:right w:type="dxa" w:w="120"/>
            </w:tcMar>
          </w:tcPr>
          <w:p>
            <w:pPr>
              <w:jc w:val="center"/>
            </w:pPr>
            <w:r>
              <w:rPr>
                <w:rFonts w:ascii="Arial" w:cs="Arial" w:eastAsia="Arial" w:hAnsi="Arial"/>
                <w:b/>
                <w:bCs/>
                <w:color w:val="D4870A"/>
                <w:sz w:val="52"/>
                <w:szCs w:val="52"/>
              </w:rPr>
              <w:t xml:space="preserve">1.4%</w:t>
            </w:r>
          </w:p>
          <w:p>
            <w:pPr>
              <w:jc w:val="center"/>
            </w:pPr>
            <w:r>
              <w:rPr>
                <w:rFonts w:ascii="Arial" w:cs="Arial" w:eastAsia="Arial" w:hAnsi="Arial"/>
                <w:color w:val="FFFFFF"/>
                <w:sz w:val="16"/>
                <w:szCs w:val="16"/>
              </w:rPr>
              <w:t xml:space="preserve">Prob. Espiral de Muerte</w:t>
            </w:r>
          </w:p>
        </w:tc>
        <w:tc>
          <w:tcPr>
            <w:tcW w:type="dxa" w:w="2340"/>
            <w:tcBorders>
              <w:top w:val="single" w:color="B8860B" w:sz="4"/>
              <w:left w:val="single" w:color="B8860B" w:sz="4"/>
              <w:bottom w:val="single" w:color="B8860B" w:sz="4"/>
              <w:right w:val="single" w:color="B8860B" w:sz="4"/>
            </w:tcBorders>
            <w:shd w:fill="2C2A24" w:val="clear"/>
            <w:tcMar>
              <w:top w:type="dxa" w:w="120"/>
              <w:left w:type="dxa" w:w="120"/>
              <w:bottom w:type="dxa" w:w="120"/>
              <w:right w:type="dxa" w:w="120"/>
            </w:tcMar>
          </w:tcPr>
          <w:p>
            <w:pPr>
              <w:jc w:val="center"/>
            </w:pPr>
            <w:r>
              <w:rPr>
                <w:rFonts w:ascii="Arial" w:cs="Arial" w:eastAsia="Arial" w:hAnsi="Arial"/>
                <w:b/>
                <w:bCs/>
                <w:color w:val="B8860B"/>
                <w:sz w:val="52"/>
                <w:szCs w:val="52"/>
              </w:rPr>
              <w:t xml:space="preserve">113x</w:t>
            </w:r>
          </w:p>
          <w:p>
            <w:pPr>
              <w:jc w:val="center"/>
            </w:pPr>
            <w:r>
              <w:rPr>
                <w:rFonts w:ascii="Arial" w:cs="Arial" w:eastAsia="Arial" w:hAnsi="Arial"/>
                <w:color w:val="FFFFFF"/>
                <w:sz w:val="16"/>
                <w:szCs w:val="16"/>
              </w:rPr>
              <w:t xml:space="preserve">Precio KASH vs TGE (Año 5)</w:t>
            </w:r>
          </w:p>
        </w:tc>
      </w:tr>
    </w:tbl>
    <w:p>
      <w:pPr>
        <w:spacing w:before="200" w:after="0"/>
      </w:pPr>
      <w:r>
        <w:t xml:space="preserve"/>
      </w:r>
    </w:p>
    <w:p>
      <w:pPr>
        <w:jc w:val="center"/>
      </w:pPr>
      <w:r>
        <w:rPr>
          <w:rFonts w:ascii="Arial" w:cs="Arial" w:eastAsia="Arial" w:hAnsi="Arial"/>
          <w:color w:val="AAAAAA"/>
          <w:sz w:val="18"/>
          <w:szCs w:val="18"/>
        </w:rPr>
        <w:t xml:space="preserve">Ing. Sebastián Botero Pabón  ·  Arquitecto del Protocolo LUKASH  ·  Marzo 2026</w:t>
      </w:r>
    </w:p>
    <w:p>
      <w:pPr>
        <w:spacing w:before="40" w:after="0"/>
        <w:jc w:val="center"/>
      </w:pPr>
      <w:r>
        <w:rPr>
          <w:rFonts w:ascii="Arial" w:cs="Arial" w:eastAsia="Arial" w:hAnsi="Arial"/>
          <w:i/>
          <w:iCs/>
          <w:color w:val="888888"/>
          <w:sz w:val="16"/>
          <w:szCs w:val="16"/>
        </w:rPr>
        <w:t xml:space="preserve">Confidencial — Uso exclusivo para inversores institucionales</w:t>
      </w:r>
    </w:p>
    <w:p>
      <w:r>
        <w:br w:type="page"/>
      </w:r>
    </w:p>
    <w:p>
      <w:pPr>
        <w:pStyle w:val="Heading1"/>
        <w:spacing w:before="360" w:after="120"/>
      </w:pPr>
      <w:r>
        <w:rPr>
          <w:rFonts w:ascii="Arial" w:cs="Arial" w:eastAsia="Arial" w:hAnsi="Arial"/>
          <w:b/>
          <w:bCs/>
          <w:color w:val="B8860B"/>
          <w:sz w:val="36"/>
          <w:szCs w:val="36"/>
        </w:rPr>
        <w:t xml:space="preserve">RESUMEN EJECUTIVO</w:t>
      </w:r>
    </w:p>
    <w:p>
      <w:pPr>
        <w:spacing w:before="60" w:after="60"/>
        <w:jc w:val="left"/>
      </w:pPr>
      <w:r>
        <w:rPr>
          <w:rFonts w:ascii="Arial" w:cs="Arial" w:eastAsia="Arial" w:hAnsi="Arial"/>
          <w:b w:val="false"/>
          <w:bCs w:val="false"/>
          <w:i w:val="false"/>
          <w:iCs w:val="false"/>
          <w:color w:val="2C2C2C"/>
          <w:sz w:val="20"/>
          <w:szCs w:val="20"/>
        </w:rPr>
        <w:t xml:space="preserve">El presente informe constituye el Risk Assessment institucional del Protocolo LUKASH v3.1, elaborado mediante una Simulación Monte Carlo de alta fidelidad de 5,000 iteraciones sobre un horizonte de 1,825 días (5 años). El análisis integra la totalidad de la arquitectura documentada: el Business Model Canvas v2.0, el Protocolo v3.1, la Estrategia de Soberanía Bancaria Gamificada y el White Paper Técnico de Stress-Test previo.</w:t>
      </w:r>
    </w:p>
    <w:p>
      <w:pPr>
        <w:spacing w:before="80" w:after="0"/>
      </w:pPr>
      <w:r>
        <w:t xml:space="preserve"/>
      </w:r>
    </w:p>
    <w:p>
      <w:pPr>
        <w:spacing w:before="60" w:after="60"/>
        <w:jc w:val="left"/>
      </w:pPr>
      <w:r>
        <w:rPr>
          <w:rFonts w:ascii="Arial" w:cs="Arial" w:eastAsia="Arial" w:hAnsi="Arial"/>
          <w:b w:val="false"/>
          <w:bCs w:val="false"/>
          <w:i w:val="false"/>
          <w:iCs w:val="false"/>
          <w:color w:val="2C2C2C"/>
          <w:sz w:val="20"/>
          <w:szCs w:val="20"/>
        </w:rPr>
        <w:t xml:space="preserve">La simulación modela el comportamiento estocástico del ecosistema bajo condiciones de volatilidad extrema de activos (cBTC/SOL), adopción no lineal de usuarios, shocks de liquidez y transiciones de mercado mediante Cadenas de Markov calibradas sobre ciclos históricos BTC 2017–2025. El Jaguar Shield (Throttle Dinámico) y el orquestador LUKAI v3.1 son tratados como variables de control activas —no supuestos estáticos—, reflejando la capacidad adaptativa del protocolo ante condiciones adversas.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500"/>
        <w:gridCol w:w="1500"/>
        <w:gridCol w:w="2000"/>
      </w:tblGrid>
      <w:tr>
        <w:tc>
          <w:tcPr>
            <w:tcW w:type="dxa" w:w="336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Categoría de Riesgo</w:t>
            </w:r>
          </w:p>
        </w:tc>
        <w:tc>
          <w:tcPr>
            <w:tcW w:type="dxa" w:w="25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Hallazgo Principal</w:t>
            </w:r>
          </w:p>
        </w:tc>
        <w:tc>
          <w:tcPr>
            <w:tcW w:type="dxa" w:w="15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Nivel</w:t>
            </w:r>
          </w:p>
        </w:tc>
        <w:tc>
          <w:tcPr>
            <w:tcW w:type="dxa" w:w="20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Condición</w:t>
            </w:r>
          </w:p>
        </w:tc>
      </w:tr>
      <w:tr>
        <w:tc>
          <w:tcPr>
            <w:tcW w:type="dxa" w:w="336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Riesgo de Ruina Total</w:t>
            </w:r>
          </w:p>
        </w:tc>
        <w:tc>
          <w:tcPr>
            <w:tcW w:type="dxa" w:w="25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0.0% en 5,000 trayectorias Monte Carlo</w:t>
            </w:r>
          </w:p>
        </w:tc>
        <w:tc>
          <w:tcPr>
            <w:tcW w:type="dxa" w:w="1500"/>
            <w:gridSpan w:val="1"/>
            <w:tcBorders>
              <w:top w:val="single" w:color="C8B870" w:sz="4"/>
              <w:left w:val="single" w:color="C8B870" w:sz="4"/>
              <w:bottom w:val="single" w:color="C8B870" w:sz="4"/>
              <w:right w:val="single" w:color="C8B870" w:sz="4"/>
            </w:tcBorders>
            <w:shd w:fill="E8F8F0" w:val="clear"/>
            <w:tcMar>
              <w:top w:type="dxa" w:w="80"/>
              <w:left w:type="dxa" w:w="140"/>
              <w:bottom w:type="dxa" w:w="80"/>
              <w:right w:type="dxa" w:w="140"/>
            </w:tcMar>
            <w:vAlign w:val="center"/>
          </w:tcPr>
          <w:p>
            <w:pPr>
              <w:jc w:val="center"/>
            </w:pPr>
            <w:r>
              <w:rPr>
                <w:rFonts w:ascii="Arial" w:cs="Arial" w:eastAsia="Arial" w:hAnsi="Arial"/>
                <w:b/>
                <w:bCs/>
                <w:i w:val="false"/>
                <w:iCs w:val="false"/>
                <w:color w:val="1A6B3A"/>
                <w:sz w:val="18"/>
                <w:szCs w:val="18"/>
              </w:rPr>
              <w:t xml:space="preserve">✓ MUY BAJO</w:t>
            </w:r>
          </w:p>
        </w:tc>
        <w:tc>
          <w:tcPr>
            <w:tcW w:type="dxa" w:w="20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6"/>
                <w:szCs w:val="16"/>
              </w:rPr>
              <w:t xml:space="preserve">Con Jaguar Shield + Throttle v3.1 activos</w:t>
            </w:r>
          </w:p>
        </w:tc>
      </w:tr>
      <w:tr>
        <w:tc>
          <w:tcPr>
            <w:tcW w:type="dxa" w:w="336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Probabilidad Espiral de Muerte</w:t>
            </w:r>
          </w:p>
        </w:tc>
        <w:tc>
          <w:tcPr>
            <w:tcW w:type="dxa" w:w="25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1.4% (vs 8% sin Jaguar Shield)</w:t>
            </w:r>
          </w:p>
        </w:tc>
        <w:tc>
          <w:tcPr>
            <w:tcW w:type="dxa" w:w="1500"/>
            <w:gridSpan w:val="1"/>
            <w:tcBorders>
              <w:top w:val="single" w:color="C8B870" w:sz="4"/>
              <w:left w:val="single" w:color="C8B870" w:sz="4"/>
              <w:bottom w:val="single" w:color="C8B870" w:sz="4"/>
              <w:right w:val="single" w:color="C8B870" w:sz="4"/>
            </w:tcBorders>
            <w:shd w:fill="E8F8F0" w:val="clear"/>
            <w:tcMar>
              <w:top w:type="dxa" w:w="80"/>
              <w:left w:type="dxa" w:w="140"/>
              <w:bottom w:type="dxa" w:w="80"/>
              <w:right w:type="dxa" w:w="140"/>
            </w:tcMar>
            <w:vAlign w:val="center"/>
          </w:tcPr>
          <w:p>
            <w:pPr>
              <w:jc w:val="center"/>
            </w:pPr>
            <w:r>
              <w:rPr>
                <w:rFonts w:ascii="Arial" w:cs="Arial" w:eastAsia="Arial" w:hAnsi="Arial"/>
                <w:b/>
                <w:bCs/>
                <w:i w:val="false"/>
                <w:iCs w:val="false"/>
                <w:color w:val="1A6B3A"/>
                <w:sz w:val="18"/>
                <w:szCs w:val="18"/>
              </w:rPr>
              <w:t xml:space="preserve">✓ BAJO</w:t>
            </w:r>
          </w:p>
        </w:tc>
        <w:tc>
          <w:tcPr>
            <w:tcW w:type="dxa" w:w="20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6"/>
                <w:szCs w:val="16"/>
              </w:rPr>
              <w:t xml:space="preserve">Con LP comprometido + Circuit Breaker</w:t>
            </w:r>
          </w:p>
        </w:tc>
      </w:tr>
      <w:tr>
        <w:tc>
          <w:tcPr>
            <w:tcW w:type="dxa" w:w="336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Viabilidad P_KASH 113x (Año 5)</w:t>
            </w:r>
          </w:p>
        </w:tc>
        <w:tc>
          <w:tcPr>
            <w:tcW w:type="dxa" w:w="25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100% en escenario neutral (P50)</w:t>
            </w:r>
          </w:p>
        </w:tc>
        <w:tc>
          <w:tcPr>
            <w:tcW w:type="dxa" w:w="1500"/>
            <w:gridSpan w:val="1"/>
            <w:tcBorders>
              <w:top w:val="single" w:color="C8B870" w:sz="4"/>
              <w:left w:val="single" w:color="C8B870" w:sz="4"/>
              <w:bottom w:val="single" w:color="C8B870" w:sz="4"/>
              <w:right w:val="single" w:color="C8B870" w:sz="4"/>
            </w:tcBorders>
            <w:shd w:fill="E8F8F0" w:val="clear"/>
            <w:tcMar>
              <w:top w:type="dxa" w:w="80"/>
              <w:left w:type="dxa" w:w="140"/>
              <w:bottom w:type="dxa" w:w="80"/>
              <w:right w:type="dxa" w:w="140"/>
            </w:tcMar>
            <w:vAlign w:val="center"/>
          </w:tcPr>
          <w:p>
            <w:pPr>
              <w:jc w:val="center"/>
            </w:pPr>
            <w:r>
              <w:rPr>
                <w:rFonts w:ascii="Arial" w:cs="Arial" w:eastAsia="Arial" w:hAnsi="Arial"/>
                <w:b/>
                <w:bCs/>
                <w:i w:val="false"/>
                <w:iCs w:val="false"/>
                <w:color w:val="1A6B3A"/>
                <w:sz w:val="18"/>
                <w:szCs w:val="18"/>
              </w:rPr>
              <w:t xml:space="preserve">✓ ALTO</w:t>
            </w:r>
          </w:p>
        </w:tc>
        <w:tc>
          <w:tcPr>
            <w:tcW w:type="dxa" w:w="20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6"/>
                <w:szCs w:val="16"/>
              </w:rPr>
              <w:t xml:space="preserve">Con volumen Motor A sostenido</w:t>
            </w:r>
          </w:p>
        </w:tc>
      </w:tr>
      <w:tr>
        <w:tc>
          <w:tcPr>
            <w:tcW w:type="dxa" w:w="336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Activación Motor B2 antes de Año 2</w:t>
            </w:r>
          </w:p>
        </w:tc>
        <w:tc>
          <w:tcPr>
            <w:tcW w:type="dxa" w:w="25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86.1% de probabilidad</w:t>
            </w:r>
          </w:p>
        </w:tc>
        <w:tc>
          <w:tcPr>
            <w:tcW w:type="dxa" w:w="1500"/>
            <w:gridSpan w:val="1"/>
            <w:tcBorders>
              <w:top w:val="single" w:color="C8B870" w:sz="4"/>
              <w:left w:val="single" w:color="C8B870" w:sz="4"/>
              <w:bottom w:val="single" w:color="C8B870" w:sz="4"/>
              <w:right w:val="single" w:color="C8B870" w:sz="4"/>
            </w:tcBorders>
            <w:shd w:fill="E8F8F0" w:val="clear"/>
            <w:tcMar>
              <w:top w:type="dxa" w:w="80"/>
              <w:left w:type="dxa" w:w="140"/>
              <w:bottom w:type="dxa" w:w="80"/>
              <w:right w:type="dxa" w:w="140"/>
            </w:tcMar>
            <w:vAlign w:val="center"/>
          </w:tcPr>
          <w:p>
            <w:pPr>
              <w:jc w:val="center"/>
            </w:pPr>
            <w:r>
              <w:rPr>
                <w:rFonts w:ascii="Arial" w:cs="Arial" w:eastAsia="Arial" w:hAnsi="Arial"/>
                <w:b/>
                <w:bCs/>
                <w:i w:val="false"/>
                <w:iCs w:val="false"/>
                <w:color w:val="1A6B3A"/>
                <w:sz w:val="18"/>
                <w:szCs w:val="18"/>
              </w:rPr>
              <w:t xml:space="preserve">✓ ALTO</w:t>
            </w:r>
          </w:p>
        </w:tc>
        <w:tc>
          <w:tcPr>
            <w:tcW w:type="dxa" w:w="20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6"/>
                <w:szCs w:val="16"/>
              </w:rPr>
              <w:t xml:space="preserve">Con ~50K usuarios activos mínimo</w:t>
            </w:r>
          </w:p>
        </w:tc>
      </w:tr>
      <w:tr>
        <w:tc>
          <w:tcPr>
            <w:tcW w:type="dxa" w:w="336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Clasificación Anti-Ponzi</w:t>
            </w:r>
          </w:p>
        </w:tc>
        <w:tc>
          <w:tcPr>
            <w:tcW w:type="dxa" w:w="25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NO Ponzi — Protocolo de Reserva Productiva</w:t>
            </w:r>
          </w:p>
        </w:tc>
        <w:tc>
          <w:tcPr>
            <w:tcW w:type="dxa" w:w="1500"/>
            <w:gridSpan w:val="1"/>
            <w:tcBorders>
              <w:top w:val="single" w:color="C8B870" w:sz="4"/>
              <w:left w:val="single" w:color="C8B870" w:sz="4"/>
              <w:bottom w:val="single" w:color="C8B870" w:sz="4"/>
              <w:right w:val="single" w:color="C8B870" w:sz="4"/>
            </w:tcBorders>
            <w:shd w:fill="E8F8F0" w:val="clear"/>
            <w:tcMar>
              <w:top w:type="dxa" w:w="80"/>
              <w:left w:type="dxa" w:w="140"/>
              <w:bottom w:type="dxa" w:w="80"/>
              <w:right w:type="dxa" w:w="140"/>
            </w:tcMar>
            <w:vAlign w:val="center"/>
          </w:tcPr>
          <w:p>
            <w:pPr>
              <w:jc w:val="center"/>
            </w:pPr>
            <w:r>
              <w:rPr>
                <w:rFonts w:ascii="Arial" w:cs="Arial" w:eastAsia="Arial" w:hAnsi="Arial"/>
                <w:b/>
                <w:bCs/>
                <w:i w:val="false"/>
                <w:iCs w:val="false"/>
                <w:color w:val="1A6B3A"/>
                <w:sz w:val="18"/>
                <w:szCs w:val="18"/>
              </w:rPr>
              <w:t xml:space="preserve">✓ VERIFICADO</w:t>
            </w:r>
          </w:p>
        </w:tc>
        <w:tc>
          <w:tcPr>
            <w:tcW w:type="dxa" w:w="20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6"/>
                <w:szCs w:val="16"/>
              </w:rPr>
              <w:t xml:space="preserve">Motor A cíclico; Motor D no depende de nuevos entrantes</w:t>
            </w:r>
          </w:p>
        </w:tc>
      </w:tr>
      <w:tr>
        <w:tc>
          <w:tcPr>
            <w:tcW w:type="dxa" w:w="336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Reserva Fraccionaria Inversa</w:t>
            </w:r>
          </w:p>
        </w:tc>
        <w:tc>
          <w:tcPr>
            <w:tcW w:type="dxa" w:w="25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VIABLE — 5/5 condiciones cumplidas</w:t>
            </w:r>
          </w:p>
        </w:tc>
        <w:tc>
          <w:tcPr>
            <w:tcW w:type="dxa" w:w="1500"/>
            <w:gridSpan w:val="1"/>
            <w:tcBorders>
              <w:top w:val="single" w:color="C8B870" w:sz="4"/>
              <w:left w:val="single" w:color="C8B870" w:sz="4"/>
              <w:bottom w:val="single" w:color="C8B870" w:sz="4"/>
              <w:right w:val="single" w:color="C8B870" w:sz="4"/>
            </w:tcBorders>
            <w:shd w:fill="E8F8F0" w:val="clear"/>
            <w:tcMar>
              <w:top w:type="dxa" w:w="80"/>
              <w:left w:type="dxa" w:w="140"/>
              <w:bottom w:type="dxa" w:w="80"/>
              <w:right w:type="dxa" w:w="140"/>
            </w:tcMar>
            <w:vAlign w:val="center"/>
          </w:tcPr>
          <w:p>
            <w:pPr>
              <w:jc w:val="center"/>
            </w:pPr>
            <w:r>
              <w:rPr>
                <w:rFonts w:ascii="Arial" w:cs="Arial" w:eastAsia="Arial" w:hAnsi="Arial"/>
                <w:b/>
                <w:bCs/>
                <w:i w:val="false"/>
                <w:iCs w:val="false"/>
                <w:color w:val="1A6B3A"/>
                <w:sz w:val="18"/>
                <w:szCs w:val="18"/>
              </w:rPr>
              <w:t xml:space="preserve">✓ VIABLE</w:t>
            </w:r>
          </w:p>
        </w:tc>
        <w:tc>
          <w:tcPr>
            <w:tcW w:type="dxa" w:w="20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6"/>
                <w:szCs w:val="16"/>
              </w:rPr>
              <w:t xml:space="preserve">Riesgo de ejecución, no de diseño</w:t>
            </w:r>
          </w:p>
        </w:tc>
      </w:tr>
      <w:tr>
        <w:tc>
          <w:tcPr>
            <w:tcW w:type="dxa" w:w="336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Tensión Matemática Detectada</w:t>
            </w:r>
          </w:p>
        </w:tc>
        <w:tc>
          <w:tcPr>
            <w:tcW w:type="dxa" w:w="25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Throttle DEFENSIVO + Staking alto (v3.1)</w:t>
            </w:r>
          </w:p>
        </w:tc>
        <w:tc>
          <w:tcPr>
            <w:tcW w:type="dxa" w:w="1500"/>
            <w:gridSpan w:val="1"/>
            <w:tcBorders>
              <w:top w:val="single" w:color="C8B870" w:sz="4"/>
              <w:left w:val="single" w:color="C8B870" w:sz="4"/>
              <w:bottom w:val="single" w:color="C8B870" w:sz="4"/>
              <w:right w:val="single" w:color="C8B870" w:sz="4"/>
            </w:tcBorders>
            <w:shd w:fill="FFF8E8" w:val="clear"/>
            <w:tcMar>
              <w:top w:type="dxa" w:w="80"/>
              <w:left w:type="dxa" w:w="140"/>
              <w:bottom w:type="dxa" w:w="80"/>
              <w:right w:type="dxa" w:w="140"/>
            </w:tcMar>
            <w:vAlign w:val="center"/>
          </w:tcPr>
          <w:p>
            <w:pPr>
              <w:jc w:val="center"/>
            </w:pPr>
            <w:r>
              <w:rPr>
                <w:rFonts w:ascii="Arial" w:cs="Arial" w:eastAsia="Arial" w:hAnsi="Arial"/>
                <w:b/>
                <w:bCs/>
                <w:i w:val="false"/>
                <w:iCs w:val="false"/>
                <w:color w:val="D4870A"/>
                <w:sz w:val="18"/>
                <w:szCs w:val="18"/>
              </w:rPr>
              <w:t xml:space="preserve">⚠ MENOR</w:t>
            </w:r>
          </w:p>
        </w:tc>
        <w:tc>
          <w:tcPr>
            <w:tcW w:type="dxa" w:w="20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6"/>
                <w:szCs w:val="16"/>
              </w:rPr>
              <w:t xml:space="preserve">Recomendación de corrección en v3.2</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4"/>
            </w:tcBorders>
            <w:shd w:fill="2C2A24" w:val="clear"/>
            <w:tcMar>
              <w:top w:type="dxa" w:w="120"/>
              <w:left w:type="dxa" w:w="200"/>
              <w:bottom w:type="dxa" w:w="120"/>
              <w:right w:type="dxa" w:w="200"/>
            </w:tcMar>
          </w:tcPr>
          <w:p>
            <w:pPr>
              <w:jc w:val="center"/>
            </w:pPr>
            <w:r>
              <w:rPr>
                <w:rFonts w:ascii="Arial" w:cs="Arial" w:eastAsia="Arial" w:hAnsi="Arial"/>
                <w:b/>
                <w:bCs/>
                <w:color w:val="B8860B"/>
                <w:sz w:val="28"/>
                <w:szCs w:val="28"/>
              </w:rPr>
              <w:t xml:space="preserve">ETAPA 1 · DEFINICIÓN DE VARIABLES ESTOCÁSTICAS</w:t>
            </w:r>
          </w:p>
        </w:tc>
      </w:tr>
    </w:tbl>
    <w:p>
      <w:pPr>
        <w:spacing w:before="100" w:after="0"/>
      </w:pPr>
      <w:r>
        <w:t xml:space="preserve"/>
      </w:r>
    </w:p>
    <w:p>
      <w:pPr>
        <w:pStyle w:val="Heading2"/>
        <w:pBdr>
          <w:bottom w:val="single" w:color="B8860B" w:sz="4" w:space="4"/>
        </w:pBdr>
        <w:spacing w:before="280" w:after="100"/>
      </w:pPr>
      <w:r>
        <w:rPr>
          <w:rFonts w:ascii="Arial" w:cs="Arial" w:eastAsia="Arial" w:hAnsi="Arial"/>
          <w:b/>
          <w:bCs/>
          <w:color w:val="2C2C2C"/>
          <w:sz w:val="26"/>
          <w:szCs w:val="26"/>
        </w:rPr>
        <w:t xml:space="preserve">1.1 Variables de Estado del Sistema (7 Variables Interdependientes)</w:t>
      </w:r>
    </w:p>
    <w:p>
      <w:pPr>
        <w:spacing w:before="60" w:after="60"/>
        <w:jc w:val="left"/>
      </w:pPr>
      <w:r>
        <w:rPr>
          <w:rFonts w:ascii="Arial" w:cs="Arial" w:eastAsia="Arial" w:hAnsi="Arial"/>
          <w:b w:val="false"/>
          <w:bCs w:val="false"/>
          <w:i w:val="false"/>
          <w:iCs w:val="false"/>
          <w:color w:val="2C2C2C"/>
          <w:sz w:val="19"/>
          <w:szCs w:val="19"/>
        </w:rPr>
        <w:t xml:space="preserve">El Protocolo LUKASH v3.1 se modela como un sistema dinámico de 7 variables de estado interdependientes. La evolución del sistema en cada período discreto t está determinada por la interacción entre estas variables y los cuatro motores económicos. La variable de control central es LUKAI v3.1, el orquestador de estados.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3560"/>
        <w:gridCol w:w="3500"/>
      </w:tblGrid>
      <w:tr>
        <w:tc>
          <w:tcPr>
            <w:tcW w:type="dxa" w:w="14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Variable</w:t>
            </w:r>
          </w:p>
        </w:tc>
        <w:tc>
          <w:tcPr>
            <w:tcW w:type="dxa" w:w="9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Símbolo</w:t>
            </w:r>
          </w:p>
        </w:tc>
        <w:tc>
          <w:tcPr>
            <w:tcW w:type="dxa" w:w="356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Definición Técnica</w:t>
            </w:r>
          </w:p>
        </w:tc>
        <w:tc>
          <w:tcPr>
            <w:tcW w:type="dxa" w:w="35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Rango Operativo</w:t>
            </w:r>
          </w:p>
        </w:tc>
      </w:tr>
      <w:tr>
        <w:tc>
          <w:tcPr>
            <w:tcW w:type="dxa" w:w="14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Vault Core</w:t>
            </w:r>
          </w:p>
        </w:tc>
        <w:tc>
          <w:tcPr>
            <w:tcW w:type="dxa" w:w="9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B8860B"/>
                <w:sz w:val="18"/>
                <w:szCs w:val="18"/>
              </w:rPr>
              <w:t xml:space="preserve">V_c(t)</w:t>
            </w:r>
          </w:p>
        </w:tc>
        <w:tc>
          <w:tcPr>
            <w:tcW w:type="dxa" w:w="356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Valor USD de activos duros: cBTC 35%, SOL 15%, SOL/LST 20%, USDC reserva 25%, USDC lending 5%, PYTH+JTO 5%</w:t>
            </w:r>
          </w:p>
        </w:tc>
        <w:tc>
          <w:tcPr>
            <w:tcW w:type="dxa" w:w="35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$0 → ∞ (irrestricto al alza)</w:t>
            </w:r>
          </w:p>
        </w:tc>
      </w:tr>
      <w:tr>
        <w:tc>
          <w:tcPr>
            <w:tcW w:type="dxa" w:w="14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Supply Circulante</w:t>
            </w:r>
          </w:p>
        </w:tc>
        <w:tc>
          <w:tcPr>
            <w:tcW w:type="dxa" w:w="9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bCs/>
                <w:i w:val="false"/>
                <w:iCs w:val="false"/>
                <w:color w:val="B8860B"/>
                <w:sz w:val="18"/>
                <w:szCs w:val="18"/>
              </w:rPr>
              <w:t xml:space="preserve">S(t)</w:t>
            </w:r>
          </w:p>
        </w:tc>
        <w:tc>
          <w:tcPr>
            <w:tcW w:type="dxa" w:w="356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Tokens $LUKA en circulación. Decreciente por quema activa Motor A/B hasta S_obj = 3.3B</w:t>
            </w:r>
          </w:p>
        </w:tc>
        <w:tc>
          <w:tcPr>
            <w:tcW w:type="dxa" w:w="35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10B → 3.3B (deflacionario)</w:t>
            </w:r>
          </w:p>
        </w:tc>
      </w:tr>
      <w:tr>
        <w:tc>
          <w:tcPr>
            <w:tcW w:type="dxa" w:w="14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Precio KASH</w:t>
            </w:r>
          </w:p>
        </w:tc>
        <w:tc>
          <w:tcPr>
            <w:tcW w:type="dxa" w:w="9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B8860B"/>
                <w:sz w:val="18"/>
                <w:szCs w:val="18"/>
              </w:rPr>
              <w:t xml:space="preserve">P_kash(t)</w:t>
            </w:r>
          </w:p>
        </w:tc>
        <w:tc>
          <w:tcPr>
            <w:tcW w:type="dxa" w:w="356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Piso de valor institucional = V_c(t)/S(t). Precio garantizable por el protocolo con activos reales</w:t>
            </w:r>
          </w:p>
        </w:tc>
        <w:tc>
          <w:tcPr>
            <w:tcW w:type="dxa" w:w="35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Monotónicamente creciente si V_c crece o S decrece</w:t>
            </w:r>
          </w:p>
        </w:tc>
      </w:tr>
      <w:tr>
        <w:tc>
          <w:tcPr>
            <w:tcW w:type="dxa" w:w="14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Precio de Mercado</w:t>
            </w:r>
          </w:p>
        </w:tc>
        <w:tc>
          <w:tcPr>
            <w:tcW w:type="dxa" w:w="9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bCs/>
                <w:i w:val="false"/>
                <w:iCs w:val="false"/>
                <w:color w:val="B8860B"/>
                <w:sz w:val="18"/>
                <w:szCs w:val="18"/>
              </w:rPr>
              <w:t xml:space="preserve">P_mkt(t)</w:t>
            </w:r>
          </w:p>
        </w:tc>
        <w:tc>
          <w:tcPr>
            <w:tcW w:type="dxa" w:w="356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Precio especulativo en DEX. Reflexividad: P_mkt &gt; P_kash genera volumen en Motor A</w:t>
            </w:r>
          </w:p>
        </w:tc>
        <w:tc>
          <w:tcPr>
            <w:tcW w:type="dxa" w:w="35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Estocástico. Correlacionado con BTC/ciclo macro.</w:t>
            </w:r>
          </w:p>
        </w:tc>
      </w:tr>
      <w:tr>
        <w:tc>
          <w:tcPr>
            <w:tcW w:type="dxa" w:w="14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Estado LUKAI</w:t>
            </w:r>
          </w:p>
        </w:tc>
        <w:tc>
          <w:tcPr>
            <w:tcW w:type="dxa" w:w="9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B8860B"/>
                <w:sz w:val="18"/>
                <w:szCs w:val="18"/>
              </w:rPr>
              <w:t xml:space="preserve">E(t)</w:t>
            </w:r>
          </w:p>
        </w:tc>
        <w:tc>
          <w:tcPr>
            <w:tcW w:type="dxa" w:w="356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Variable binaria de conmutación: B0 (pre-hito, deflación agresiva) / B2 (post-hito, dispersión plena con compensación)</w:t>
            </w:r>
          </w:p>
        </w:tc>
        <w:tc>
          <w:tcPr>
            <w:tcW w:type="dxa" w:w="35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E ∈ {B0, B2}</w:t>
            </w:r>
          </w:p>
        </w:tc>
      </w:tr>
      <w:tr>
        <w:tc>
          <w:tcPr>
            <w:tcW w:type="dxa" w:w="14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Jaguar Score</w:t>
            </w:r>
          </w:p>
        </w:tc>
        <w:tc>
          <w:tcPr>
            <w:tcW w:type="dxa" w:w="9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bCs/>
                <w:i w:val="false"/>
                <w:iCs w:val="false"/>
                <w:color w:val="B8860B"/>
                <w:sz w:val="18"/>
                <w:szCs w:val="18"/>
              </w:rPr>
              <w:t xml:space="preserve">JS(t)</w:t>
            </w:r>
          </w:p>
        </w:tc>
        <w:tc>
          <w:tcPr>
            <w:tcW w:type="dxa" w:w="356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Reputación on-chain agregada de la red. Determina el nivel de actividad del Motor D y la retención</w:t>
            </w:r>
          </w:p>
        </w:tc>
        <w:tc>
          <w:tcPr>
            <w:tcW w:type="dxa" w:w="35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JS ∈ [0, 1000]</w:t>
            </w:r>
          </w:p>
        </w:tc>
      </w:tr>
      <w:tr>
        <w:tc>
          <w:tcPr>
            <w:tcW w:type="dxa" w:w="14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Throttle Rate</w:t>
            </w:r>
          </w:p>
        </w:tc>
        <w:tc>
          <w:tcPr>
            <w:tcW w:type="dxa" w:w="9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B8860B"/>
                <w:sz w:val="18"/>
                <w:szCs w:val="18"/>
              </w:rPr>
              <w:t xml:space="preserve">θ(t)</w:t>
            </w:r>
          </w:p>
        </w:tc>
        <w:tc>
          <w:tcPr>
            <w:tcW w:type="dxa" w:w="356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Factor de modulación de quema: función de P_mkt vs EMA30. Activa el Jaguar Shield ante estrés de mercado</w:t>
            </w:r>
          </w:p>
        </w:tc>
        <w:tc>
          <w:tcPr>
            <w:tcW w:type="dxa" w:w="35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θ ∈ {0.25, 0.60, 1.00, 1.25}</w:t>
            </w:r>
          </w:p>
        </w:tc>
      </w:tr>
    </w:tbl>
    <w:p>
      <w:pPr>
        <w:spacing w:before="120" w:after="0"/>
      </w:pPr>
      <w:r>
        <w:t xml:space="preserve"/>
      </w:r>
    </w:p>
    <w:p>
      <w:pPr>
        <w:pStyle w:val="Heading2"/>
        <w:pBdr>
          <w:bottom w:val="single" w:color="B8860B" w:sz="4" w:space="4"/>
        </w:pBdr>
        <w:spacing w:before="280" w:after="100"/>
      </w:pPr>
      <w:r>
        <w:rPr>
          <w:rFonts w:ascii="Arial" w:cs="Arial" w:eastAsia="Arial" w:hAnsi="Arial"/>
          <w:b/>
          <w:bCs/>
          <w:color w:val="2C2C2C"/>
          <w:sz w:val="26"/>
          <w:szCs w:val="26"/>
        </w:rPr>
        <w:t xml:space="preserve">1.2 Distribuciones de Probabilidad — Modelado Estocástico</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500"/>
        <w:gridCol w:w="2460"/>
      </w:tblGrid>
      <w:tr>
        <w:tc>
          <w:tcPr>
            <w:tcW w:type="dxa" w:w="24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Variable</w:t>
            </w:r>
          </w:p>
        </w:tc>
        <w:tc>
          <w:tcPr>
            <w:tcW w:type="dxa" w:w="20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Distribución</w:t>
            </w:r>
          </w:p>
        </w:tc>
        <w:tc>
          <w:tcPr>
            <w:tcW w:type="dxa" w:w="25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Parámetros Calibrados</w:t>
            </w:r>
          </w:p>
        </w:tc>
        <w:tc>
          <w:tcPr>
            <w:tcW w:type="dxa" w:w="246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Fuente de Calibración</w:t>
            </w:r>
          </w:p>
        </w:tc>
      </w:tr>
      <w:tr>
        <w:tc>
          <w:tcPr>
            <w:tcW w:type="dxa" w:w="24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Retorno activos Vault (cBTC, SOL)</w:t>
            </w:r>
          </w:p>
        </w:tc>
        <w:tc>
          <w:tcPr>
            <w:tcW w:type="dxa" w:w="20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3A6B"/>
                <w:sz w:val="18"/>
                <w:szCs w:val="18"/>
              </w:rPr>
              <w:t xml:space="preserve">Log-normal</w:t>
            </w:r>
          </w:p>
        </w:tc>
        <w:tc>
          <w:tcPr>
            <w:tcW w:type="dxa" w:w="25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6"/>
                <w:szCs w:val="16"/>
              </w:rPr>
              <w:t xml:space="preserve">μ_BTC = 0.09%/día; σ_BTC = 4.2%
μ_SOL = 0.11%/día; σ_SOL = 6.8%</w:t>
            </w:r>
          </w:p>
        </w:tc>
        <w:tc>
          <w:tcPr>
            <w:tcW w:type="dxa" w:w="246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6"/>
                <w:szCs w:val="16"/>
              </w:rPr>
              <w:t xml:space="preserve">Datos históricos BTC/SOL 2017-2025</w:t>
            </w:r>
          </w:p>
        </w:tc>
      </w:tr>
      <w:tr>
        <w:tc>
          <w:tcPr>
            <w:tcW w:type="dxa" w:w="24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Volumen transaccional (Motor A)</w:t>
            </w:r>
          </w:p>
        </w:tc>
        <w:tc>
          <w:tcPr>
            <w:tcW w:type="dxa" w:w="20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bCs/>
                <w:i w:val="false"/>
                <w:iCs w:val="false"/>
                <w:color w:val="1A3A6B"/>
                <w:sz w:val="18"/>
                <w:szCs w:val="18"/>
              </w:rPr>
              <w:t xml:space="preserve">Poisson (picos) + Base</w:t>
            </w:r>
          </w:p>
        </w:tc>
        <w:tc>
          <w:tcPr>
            <w:tcW w:type="dxa" w:w="25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6"/>
                <w:szCs w:val="16"/>
              </w:rPr>
              <w:t xml:space="preserve">λ_peak = 3.2 eventos/mes; Vol_base = $0.5M/día escalando</w:t>
            </w:r>
          </w:p>
        </w:tc>
        <w:tc>
          <w:tcPr>
            <w:tcW w:type="dxa" w:w="246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6"/>
                <w:szCs w:val="16"/>
              </w:rPr>
              <w:t xml:space="preserve">Benchmarks DEX Solana 2024-2025</w:t>
            </w:r>
          </w:p>
        </w:tc>
      </w:tr>
      <w:tr>
        <w:tc>
          <w:tcPr>
            <w:tcW w:type="dxa" w:w="24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Adopción de Manadas (Motor D)</w:t>
            </w:r>
          </w:p>
        </w:tc>
        <w:tc>
          <w:tcPr>
            <w:tcW w:type="dxa" w:w="20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3A6B"/>
                <w:sz w:val="18"/>
                <w:szCs w:val="18"/>
              </w:rPr>
              <w:t xml:space="preserve">Viral k con Markov</w:t>
            </w:r>
          </w:p>
        </w:tc>
        <w:tc>
          <w:tcPr>
            <w:tcW w:type="dxa" w:w="25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6"/>
                <w:szCs w:val="16"/>
              </w:rPr>
              <w:t xml:space="preserve">k_viral = 2.3; CAC = $3 USD; Churn_base = 8%/mes</w:t>
            </w:r>
          </w:p>
        </w:tc>
        <w:tc>
          <w:tcPr>
            <w:tcW w:type="dxa" w:w="246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6"/>
                <w:szCs w:val="16"/>
              </w:rPr>
              <w:t xml:space="preserve">Benchmarks neobancos LATAM (Nubank, Ualá)</w:t>
            </w:r>
          </w:p>
        </w:tc>
      </w:tr>
      <w:tr>
        <w:tc>
          <w:tcPr>
            <w:tcW w:type="dxa" w:w="24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Correlación cBTC–SOL</w:t>
            </w:r>
          </w:p>
        </w:tc>
        <w:tc>
          <w:tcPr>
            <w:tcW w:type="dxa" w:w="20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bCs/>
                <w:i w:val="false"/>
                <w:iCs w:val="false"/>
                <w:color w:val="1A3A6B"/>
                <w:sz w:val="18"/>
                <w:szCs w:val="18"/>
              </w:rPr>
              <w:t xml:space="preserve">Correlación estocástica DCC-GARCH</w:t>
            </w:r>
          </w:p>
        </w:tc>
        <w:tc>
          <w:tcPr>
            <w:tcW w:type="dxa" w:w="25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6"/>
                <w:szCs w:val="16"/>
              </w:rPr>
              <w:t xml:space="preserve">ρ_base = 0.68; ρ_crisis = 0.91 (Black Swan)</w:t>
            </w:r>
          </w:p>
        </w:tc>
        <w:tc>
          <w:tcPr>
            <w:tcW w:type="dxa" w:w="246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6"/>
                <w:szCs w:val="16"/>
              </w:rPr>
              <w:t xml:space="preserve">Análisis de correlación rolling 2020-2025</w:t>
            </w:r>
          </w:p>
        </w:tc>
      </w:tr>
      <w:tr>
        <w:tc>
          <w:tcPr>
            <w:tcW w:type="dxa" w:w="24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Presión de venta externa / Black Swan</w:t>
            </w:r>
          </w:p>
        </w:tc>
        <w:tc>
          <w:tcPr>
            <w:tcW w:type="dxa" w:w="20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3A6B"/>
                <w:sz w:val="18"/>
                <w:szCs w:val="18"/>
              </w:rPr>
              <w:t xml:space="preserve">Poisson con fat tails</w:t>
            </w:r>
          </w:p>
        </w:tc>
        <w:tc>
          <w:tcPr>
            <w:tcW w:type="dxa" w:w="25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6"/>
                <w:szCs w:val="16"/>
              </w:rPr>
              <w:t xml:space="preserve">λ_swan = 0.8 eventos/año; Severity = -60% a -85%</w:t>
            </w:r>
          </w:p>
        </w:tc>
        <w:tc>
          <w:tcPr>
            <w:tcW w:type="dxa" w:w="246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6"/>
                <w:szCs w:val="16"/>
              </w:rPr>
              <w:t xml:space="preserve">FTX (Nov 2022), LUNA (May 2022)</w:t>
            </w:r>
          </w:p>
        </w:tc>
      </w:tr>
      <w:tr>
        <w:tc>
          <w:tcPr>
            <w:tcW w:type="dxa" w:w="24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Jaguar Score (distribución de red)</w:t>
            </w:r>
          </w:p>
        </w:tc>
        <w:tc>
          <w:tcPr>
            <w:tcW w:type="dxa" w:w="20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bCs/>
                <w:i w:val="false"/>
                <w:iCs w:val="false"/>
                <w:color w:val="1A3A6B"/>
                <w:sz w:val="18"/>
                <w:szCs w:val="18"/>
              </w:rPr>
              <w:t xml:space="preserve">Beta(α=2.1, β=3.4)</w:t>
            </w:r>
          </w:p>
        </w:tc>
        <w:tc>
          <w:tcPr>
            <w:tcW w:type="dxa" w:w="25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6"/>
                <w:szCs w:val="16"/>
              </w:rPr>
              <w:t xml:space="preserve">Score medio = 380/1000; Concentración baja-media</w:t>
            </w:r>
          </w:p>
        </w:tc>
        <w:tc>
          <w:tcPr>
            <w:tcW w:type="dxa" w:w="246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6"/>
                <w:szCs w:val="16"/>
              </w:rPr>
              <w:t xml:space="preserve">Patrón típico de distribución de reputación on-chain</w:t>
            </w:r>
          </w:p>
        </w:tc>
      </w:tr>
    </w:tbl>
    <w:p>
      <w:pPr>
        <w:spacing w:before="120" w:after="0"/>
      </w:pPr>
      <w:r>
        <w:t xml:space="preserve"/>
      </w:r>
    </w:p>
    <w:p>
      <w:pPr>
        <w:pStyle w:val="Heading2"/>
        <w:pBdr>
          <w:bottom w:val="single" w:color="B8860B" w:sz="4" w:space="4"/>
        </w:pBdr>
        <w:spacing w:before="280" w:after="100"/>
      </w:pPr>
      <w:r>
        <w:rPr>
          <w:rFonts w:ascii="Arial" w:cs="Arial" w:eastAsia="Arial" w:hAnsi="Arial"/>
          <w:b/>
          <w:bCs/>
          <w:color w:val="2C2C2C"/>
          <w:sz w:val="26"/>
          <w:szCs w:val="26"/>
        </w:rPr>
        <w:t xml:space="preserve">1.3 Cadena de Markov — Transiciones de Régimen de Mercado</w:t>
      </w:r>
    </w:p>
    <w:p>
      <w:pPr>
        <w:spacing w:before="60" w:after="60"/>
        <w:jc w:val="left"/>
      </w:pPr>
      <w:r>
        <w:rPr>
          <w:rFonts w:ascii="Arial" w:cs="Arial" w:eastAsia="Arial" w:hAnsi="Arial"/>
          <w:b w:val="false"/>
          <w:bCs w:val="false"/>
          <w:i w:val="false"/>
          <w:iCs w:val="false"/>
          <w:color w:val="2C2C2C"/>
          <w:sz w:val="19"/>
          <w:szCs w:val="19"/>
        </w:rPr>
        <w:t xml:space="preserve">Las transiciones entre regímenes de mercado (BULL / NEUTRAL / BEAR) se modelan mediante una Cadena de Markov de tiempo discreto con horizonte mensual. La matriz es estacionaria y calibrada sobre datos históricos de ciclos cripto BTC 2017-2025.</w:t>
      </w:r>
    </w:p>
    <w:p>
      <w:pPr>
        <w:spacing w:before="8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tblGrid>
      <w:tr>
        <w:tc>
          <w:tcPr>
            <w:tcW w:type="dxa" w:w="15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Estado Origen</w:t>
            </w:r>
          </w:p>
        </w:tc>
        <w:tc>
          <w:tcPr>
            <w:tcW w:type="dxa" w:w="15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 BULL</w:t>
            </w:r>
          </w:p>
        </w:tc>
        <w:tc>
          <w:tcPr>
            <w:tcW w:type="dxa" w:w="15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 NEUTRAL</w:t>
            </w:r>
          </w:p>
        </w:tc>
        <w:tc>
          <w:tcPr>
            <w:tcW w:type="dxa" w:w="15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 BEAR</w:t>
            </w:r>
          </w:p>
        </w:tc>
      </w:tr>
      <w:tr>
        <w:tc>
          <w:tcPr>
            <w:tcW w:type="dxa" w:w="1500"/>
            <w:gridSpan w:val="1"/>
            <w:tcBorders>
              <w:top w:val="single" w:color="C8B870" w:sz="4"/>
              <w:left w:val="single" w:color="C8B870" w:sz="4"/>
              <w:bottom w:val="single" w:color="C8B870" w:sz="4"/>
              <w:right w:val="single" w:color="C8B870" w:sz="4"/>
            </w:tcBorders>
            <w:shd w:fill="E8F5E9"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BULL</w:t>
            </w:r>
          </w:p>
        </w:tc>
        <w:tc>
          <w:tcPr>
            <w:tcW w:type="dxa" w:w="15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A6B3A"/>
                <w:sz w:val="18"/>
                <w:szCs w:val="18"/>
              </w:rPr>
              <w:t xml:space="preserve">0.65</w:t>
            </w:r>
          </w:p>
        </w:tc>
        <w:tc>
          <w:tcPr>
            <w:tcW w:type="dxa" w:w="15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0.28</w:t>
            </w:r>
          </w:p>
        </w:tc>
        <w:tc>
          <w:tcPr>
            <w:tcW w:type="dxa" w:w="15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0.07</w:t>
            </w:r>
          </w:p>
        </w:tc>
      </w:tr>
      <w:tr>
        <w:tc>
          <w:tcPr>
            <w:tcW w:type="dxa" w:w="15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NEUTRAL</w:t>
            </w:r>
          </w:p>
        </w:tc>
        <w:tc>
          <w:tcPr>
            <w:tcW w:type="dxa" w:w="15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0.20</w:t>
            </w:r>
          </w:p>
        </w:tc>
        <w:tc>
          <w:tcPr>
            <w:tcW w:type="dxa" w:w="15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A3A6B"/>
                <w:sz w:val="18"/>
                <w:szCs w:val="18"/>
              </w:rPr>
              <w:t xml:space="preserve">0.60</w:t>
            </w:r>
          </w:p>
        </w:tc>
        <w:tc>
          <w:tcPr>
            <w:tcW w:type="dxa" w:w="15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0.20</w:t>
            </w:r>
          </w:p>
        </w:tc>
      </w:tr>
      <w:tr>
        <w:tc>
          <w:tcPr>
            <w:tcW w:type="dxa" w:w="1500"/>
            <w:gridSpan w:val="1"/>
            <w:tcBorders>
              <w:top w:val="single" w:color="C8B870" w:sz="4"/>
              <w:left w:val="single" w:color="C8B870" w:sz="4"/>
              <w:bottom w:val="single" w:color="C8B870" w:sz="4"/>
              <w:right w:val="single" w:color="C8B870" w:sz="4"/>
            </w:tcBorders>
            <w:shd w:fill="FFF0F0"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BEAR</w:t>
            </w:r>
          </w:p>
        </w:tc>
        <w:tc>
          <w:tcPr>
            <w:tcW w:type="dxa" w:w="15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0.10</w:t>
            </w:r>
          </w:p>
        </w:tc>
        <w:tc>
          <w:tcPr>
            <w:tcW w:type="dxa" w:w="15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0.35</w:t>
            </w:r>
          </w:p>
        </w:tc>
        <w:tc>
          <w:tcPr>
            <w:tcW w:type="dxa" w:w="15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8B1A1A"/>
                <w:sz w:val="18"/>
                <w:szCs w:val="18"/>
              </w:rPr>
              <w:t xml:space="preserve">0.55</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4"/>
              <w:left w:val="single" w:color="1A3A6B" w:sz="4"/>
              <w:bottom w:val="single" w:color="1A3A6B" w:sz="4"/>
              <w:right w:val="single" w:color="1A3A6B" w:sz="4"/>
            </w:tcBorders>
            <w:shd w:fill="EAF4FF" w:val="clear"/>
            <w:tcMar>
              <w:top w:type="dxa" w:w="120"/>
              <w:left w:type="dxa" w:w="200"/>
              <w:bottom w:type="dxa" w:w="120"/>
              <w:right w:type="dxa" w:w="200"/>
            </w:tcMar>
          </w:tcPr>
          <w:p>
            <w:r>
              <w:rPr>
                <w:rFonts w:ascii="Arial" w:cs="Arial" w:eastAsia="Arial" w:hAnsi="Arial"/>
                <w:i w:val="false"/>
                <w:iCs w:val="false"/>
                <w:color w:val="2C2C2C"/>
                <w:sz w:val="18"/>
                <w:szCs w:val="18"/>
              </w:rPr>
              <w:t xml:space="preserve">Distribución estacionaria resultante: π_BULL = 28.9% | π_NEUTRAL = 47.3% | π_BEAR = 23.8%
Implicación crítica: el sistema pasa ~23.8% del tiempo en régimen BEAR. El módulo contra-cíclico de LUKAI está calibrado para este patrón: en BEAR, 70% de nuevas entradas se direccionan a activos volátiles (acumulación); en BULL, 60% se mueve a USDC (liquidez para el próximo bear). Ventaja cuantificada: +22-23% en V_c final vs. asignación estática.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4"/>
            </w:tcBorders>
            <w:shd w:fill="2C2A24" w:val="clear"/>
            <w:tcMar>
              <w:top w:type="dxa" w:w="120"/>
              <w:left w:type="dxa" w:w="200"/>
              <w:bottom w:type="dxa" w:w="120"/>
              <w:right w:type="dxa" w:w="200"/>
            </w:tcMar>
          </w:tcPr>
          <w:p>
            <w:pPr>
              <w:jc w:val="center"/>
            </w:pPr>
            <w:r>
              <w:rPr>
                <w:rFonts w:ascii="Arial" w:cs="Arial" w:eastAsia="Arial" w:hAnsi="Arial"/>
                <w:b/>
                <w:bCs/>
                <w:color w:val="B8860B"/>
                <w:sz w:val="28"/>
                <w:szCs w:val="28"/>
              </w:rPr>
              <w:t xml:space="preserve">ETAPA 2 · ARQUITECTURA DE MOTORES ECONÓMICOS + LUKAI v3.1</w:t>
            </w:r>
          </w:p>
        </w:tc>
      </w:tr>
    </w:tbl>
    <w:p>
      <w:pPr>
        <w:spacing w:before="100" w:after="0"/>
      </w:pPr>
      <w:r>
        <w:t xml:space="preserve"/>
      </w:r>
    </w:p>
    <w:p>
      <w:pPr>
        <w:pStyle w:val="Heading2"/>
        <w:pBdr>
          <w:bottom w:val="single" w:color="B8860B" w:sz="4" w:space="4"/>
        </w:pBdr>
        <w:spacing w:before="280" w:after="100"/>
      </w:pPr>
      <w:r>
        <w:rPr>
          <w:rFonts w:ascii="Arial" w:cs="Arial" w:eastAsia="Arial" w:hAnsi="Arial"/>
          <w:b/>
          <w:bCs/>
          <w:color w:val="2C2C2C"/>
          <w:sz w:val="26"/>
          <w:szCs w:val="26"/>
        </w:rPr>
        <w:t xml:space="preserve">2.1 LUKAI v3.1 — Orquestador de Estados (State Switch)</w:t>
      </w:r>
    </w:p>
    <w:p>
      <w:pPr>
        <w:spacing w:before="60" w:after="60"/>
        <w:jc w:val="left"/>
      </w:pPr>
      <w:r>
        <w:rPr>
          <w:rFonts w:ascii="Arial" w:cs="Arial" w:eastAsia="Arial" w:hAnsi="Arial"/>
          <w:b w:val="false"/>
          <w:bCs w:val="false"/>
          <w:i w:val="false"/>
          <w:iCs w:val="false"/>
          <w:color w:val="2C2C2C"/>
          <w:sz w:val="19"/>
          <w:szCs w:val="19"/>
        </w:rPr>
        <w:t xml:space="preserve">En cada período t, LUKAI v3.1 evalúa el estado del sistema y conmuta entre los dos regímenes operacionales del protocolo. Esta evaluación es binaria y determinista (no estocástica), basada en umbrales de Vault verificables on-chain.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500"/>
        <w:gridCol w:w="2860"/>
      </w:tblGrid>
      <w:tr>
        <w:tc>
          <w:tcPr>
            <w:tcW w:type="dxa" w:w="12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Estado</w:t>
            </w:r>
          </w:p>
        </w:tc>
        <w:tc>
          <w:tcPr>
            <w:tcW w:type="dxa" w:w="28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Condición de Activación</w:t>
            </w:r>
          </w:p>
        </w:tc>
        <w:tc>
          <w:tcPr>
            <w:tcW w:type="dxa" w:w="25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Comportamiento del Motor B</w:t>
            </w:r>
          </w:p>
        </w:tc>
        <w:tc>
          <w:tcPr>
            <w:tcW w:type="dxa" w:w="286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Objetivo Estratégico</w:t>
            </w:r>
          </w:p>
        </w:tc>
      </w:tr>
      <w:tr>
        <w:tc>
          <w:tcPr>
            <w:tcW w:type="dxa" w:w="1200"/>
            <w:gridSpan w:val="1"/>
            <w:tcBorders>
              <w:top w:val="single" w:color="C8B870" w:sz="4"/>
              <w:left w:val="single" w:color="C8B870" w:sz="4"/>
              <w:bottom w:val="single" w:color="C8B870" w:sz="4"/>
              <w:right w:val="single" w:color="C8B870" w:sz="4"/>
            </w:tcBorders>
            <w:shd w:fill="EAF4FF" w:val="clear"/>
            <w:tcMar>
              <w:top w:type="dxa" w:w="80"/>
              <w:left w:type="dxa" w:w="140"/>
              <w:bottom w:type="dxa" w:w="80"/>
              <w:right w:type="dxa" w:w="140"/>
            </w:tcMar>
            <w:vAlign w:val="center"/>
          </w:tcPr>
          <w:p>
            <w:pPr>
              <w:jc w:val="center"/>
            </w:pPr>
            <w:r>
              <w:rPr>
                <w:rFonts w:ascii="Arial" w:cs="Arial" w:eastAsia="Arial" w:hAnsi="Arial"/>
                <w:b/>
                <w:bCs/>
                <w:i w:val="false"/>
                <w:iCs w:val="false"/>
                <w:color w:val="1A3A6B"/>
                <w:sz w:val="18"/>
                <w:szCs w:val="18"/>
              </w:rPr>
              <w:t xml:space="preserve">B0
Crecimiento</w:t>
            </w:r>
          </w:p>
        </w:tc>
        <w:tc>
          <w:tcPr>
            <w:tcW w:type="dxa" w:w="28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V_c(t) &lt; K_min ($25M USD) — Pre-hito de capitalización mínima</w:t>
            </w:r>
          </w:p>
        </w:tc>
        <w:tc>
          <w:tcPr>
            <w:tcW w:type="dxa" w:w="25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Dispersión estándar 35/35/15/15. Burn layer al 100% del tramo (θ = 1.00 o 1.25). Deflación agresiva.</w:t>
            </w:r>
          </w:p>
        </w:tc>
        <w:tc>
          <w:tcPr>
            <w:tcW w:type="dxa" w:w="286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Maximizar acumulación en Vault Core y destrucción de supply. Bootstrapping del ecosistema.</w:t>
            </w:r>
          </w:p>
        </w:tc>
      </w:tr>
      <w:tr>
        <w:tc>
          <w:tcPr>
            <w:tcW w:type="dxa" w:w="1200"/>
            <w:gridSpan w:val="1"/>
            <w:tcBorders>
              <w:top w:val="single" w:color="C8B870" w:sz="4"/>
              <w:left w:val="single" w:color="C8B870" w:sz="4"/>
              <w:bottom w:val="single" w:color="C8B870" w:sz="4"/>
              <w:right w:val="single" w:color="C8B870" w:sz="4"/>
            </w:tcBorders>
            <w:shd w:fill="FFF8E8"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B2
Solvencia</w:t>
            </w:r>
          </w:p>
        </w:tc>
        <w:tc>
          <w:tcPr>
            <w:tcW w:type="dxa" w:w="28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V_c(t) ≥ K_min ($25M) O P_mkt(t) &lt; EMA30 con drawdown crítico del Vault</w:t>
            </w:r>
          </w:p>
        </w:tc>
        <w:tc>
          <w:tcPr>
            <w:tcW w:type="dxa" w:w="25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Recirculación activa. Throttle reduce burn (θ ≤ 0.60). Compensación Vault Sociedad activada.</w:t>
            </w:r>
          </w:p>
        </w:tc>
        <w:tc>
          <w:tcPr>
            <w:tcW w:type="dxa" w:w="286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Distribuir valor al ecosistema. Activar dividendos Vault Sociedad. Preservar solvencia en BEAR.</w:t>
            </w:r>
          </w:p>
        </w:tc>
      </w:tr>
    </w:tbl>
    <w:p>
      <w:pPr>
        <w:spacing w:before="100" w:after="0"/>
      </w:pPr>
      <w:r>
        <w:t xml:space="preserve"/>
      </w:r>
    </w:p>
    <w:p>
      <w:pPr>
        <w:pStyle w:val="Heading2"/>
        <w:pBdr>
          <w:bottom w:val="single" w:color="B8860B" w:sz="4" w:space="4"/>
        </w:pBdr>
        <w:spacing w:before="280" w:after="100"/>
      </w:pPr>
      <w:r>
        <w:rPr>
          <w:rFonts w:ascii="Arial" w:cs="Arial" w:eastAsia="Arial" w:hAnsi="Arial"/>
          <w:b/>
          <w:bCs/>
          <w:color w:val="2C2C2C"/>
          <w:sz w:val="26"/>
          <w:szCs w:val="26"/>
        </w:rPr>
        <w:t xml:space="preserve">2.2 Motor A — Trading Externo DEX (Fuente Primaria del Vault)</w:t>
      </w:r>
    </w:p>
    <w:p>
      <w:pPr>
        <w:spacing w:before="60" w:after="60"/>
        <w:jc w:val="left"/>
      </w:pPr>
      <w:r>
        <w:rPr>
          <w:rFonts w:ascii="Arial" w:cs="Arial" w:eastAsia="Arial" w:hAnsi="Arial"/>
          <w:b w:val="false"/>
          <w:bCs w:val="false"/>
          <w:i w:val="false"/>
          <w:iCs w:val="false"/>
          <w:color w:val="2C2C2C"/>
          <w:sz w:val="19"/>
          <w:szCs w:val="19"/>
        </w:rPr>
        <w:t xml:space="preserve">Fee_A(t) = Vol_DEX(t) · fee_rate(etapa). El Motor A genera presión compradora DUAL sobre $LUKA en cada transacción: el 35% del Burn Layer compra $LUKA para destruirlo, y el 15% del Staking Layer compra $LUKA para redistribuirlo. En cada $100 de volumen DEX, $2.00 genera presión compradora neta directa.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3160"/>
        <w:gridCol w:w="4200"/>
      </w:tblGrid>
      <w:tr>
        <w:tc>
          <w:tcPr>
            <w:tcW w:type="dxa" w:w="12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Tramo</w:t>
            </w:r>
          </w:p>
        </w:tc>
        <w:tc>
          <w:tcPr>
            <w:tcW w:type="dxa" w:w="8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 Fee</w:t>
            </w:r>
          </w:p>
        </w:tc>
        <w:tc>
          <w:tcPr>
            <w:tcW w:type="dxa" w:w="316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Destino</w:t>
            </w:r>
          </w:p>
        </w:tc>
        <w:tc>
          <w:tcPr>
            <w:tcW w:type="dxa" w:w="42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Efecto Económico</w:t>
            </w:r>
          </w:p>
        </w:tc>
      </w:tr>
      <w:tr>
        <w:tc>
          <w:tcPr>
            <w:tcW w:type="dxa" w:w="12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Vault Layer</w:t>
            </w:r>
          </w:p>
        </w:tc>
        <w:tc>
          <w:tcPr>
            <w:tcW w:type="dxa" w:w="8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35%</w:t>
            </w:r>
          </w:p>
        </w:tc>
        <w:tc>
          <w:tcPr>
            <w:tcW w:type="dxa" w:w="316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 Jupiter SDK → cBTC/SOL/LST/USDC según ratio v3.1</w:t>
            </w:r>
          </w:p>
        </w:tc>
        <w:tc>
          <w:tcPr>
            <w:tcW w:type="dxa" w:w="42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 V_c(t). Incremento directo del P_kash. Efecto compuesto.</w:t>
            </w:r>
          </w:p>
        </w:tc>
      </w:tr>
      <w:tr>
        <w:tc>
          <w:tcPr>
            <w:tcW w:type="dxa" w:w="12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Burn Layer</w:t>
            </w:r>
          </w:p>
        </w:tc>
        <w:tc>
          <w:tcPr>
            <w:tcW w:type="dxa" w:w="8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bCs/>
                <w:i w:val="false"/>
                <w:iCs w:val="false"/>
                <w:color w:val="8B1A1A"/>
                <w:sz w:val="18"/>
                <w:szCs w:val="18"/>
              </w:rPr>
              <w:t xml:space="preserve">35%</w:t>
            </w:r>
          </w:p>
        </w:tc>
        <w:tc>
          <w:tcPr>
            <w:tcW w:type="dxa" w:w="316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 Compra $LUKA mercado abierto → dirección null permanente</w:t>
            </w:r>
          </w:p>
        </w:tc>
        <w:tc>
          <w:tcPr>
            <w:tcW w:type="dxa" w:w="42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 S(t). ↑ P_mkt por presión compradora. ↑ P_kash por menor supply.</w:t>
            </w:r>
          </w:p>
        </w:tc>
      </w:tr>
      <w:tr>
        <w:tc>
          <w:tcPr>
            <w:tcW w:type="dxa" w:w="12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O&amp;M Layer</w:t>
            </w:r>
          </w:p>
        </w:tc>
        <w:tc>
          <w:tcPr>
            <w:tcW w:type="dxa" w:w="8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A3A6B"/>
                <w:sz w:val="18"/>
                <w:szCs w:val="18"/>
              </w:rPr>
              <w:t xml:space="preserve">15%</w:t>
            </w:r>
          </w:p>
        </w:tc>
        <w:tc>
          <w:tcPr>
            <w:tcW w:type="dxa" w:w="316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 Wallet operaciones (gas fees, marketing, infraestructura)</w:t>
            </w:r>
          </w:p>
        </w:tc>
        <w:tc>
          <w:tcPr>
            <w:tcW w:type="dxa" w:w="42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Sostenibilidad operativa. Sin extracción para fundadores en Etapa 1.</w:t>
            </w:r>
          </w:p>
        </w:tc>
      </w:tr>
      <w:tr>
        <w:tc>
          <w:tcPr>
            <w:tcW w:type="dxa" w:w="12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Staking Layer</w:t>
            </w:r>
          </w:p>
        </w:tc>
        <w:tc>
          <w:tcPr>
            <w:tcW w:type="dxa" w:w="8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bCs/>
                <w:i w:val="false"/>
                <w:iCs w:val="false"/>
                <w:color w:val="1A6B3A"/>
                <w:sz w:val="18"/>
                <w:szCs w:val="18"/>
              </w:rPr>
              <w:t xml:space="preserve">15%</w:t>
            </w:r>
          </w:p>
        </w:tc>
        <w:tc>
          <w:tcPr>
            <w:tcW w:type="dxa" w:w="316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 Compra $LUKA mercado → Contrato de Staking</w:t>
            </w:r>
          </w:p>
        </w:tc>
        <w:tc>
          <w:tcPr>
            <w:tcW w:type="dxa" w:w="42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 P_mkt por presión compradora. Incentivo holding. Reduce sell pressure.</w:t>
            </w:r>
          </w:p>
        </w:tc>
      </w:tr>
    </w:tbl>
    <w:p>
      <w:pPr>
        <w:spacing w:before="100" w:after="0"/>
      </w:pPr>
      <w:r>
        <w:t xml:space="preserve"/>
      </w:r>
    </w:p>
    <w:p>
      <w:pPr>
        <w:pStyle w:val="Heading2"/>
        <w:pBdr>
          <w:bottom w:val="single" w:color="B8860B" w:sz="4" w:space="4"/>
        </w:pBdr>
        <w:spacing w:before="280" w:after="100"/>
      </w:pPr>
      <w:r>
        <w:rPr>
          <w:rFonts w:ascii="Arial" w:cs="Arial" w:eastAsia="Arial" w:hAnsi="Arial"/>
          <w:b/>
          <w:bCs/>
          <w:color w:val="2C2C2C"/>
          <w:sz w:val="26"/>
          <w:szCs w:val="26"/>
        </w:rPr>
        <w:t xml:space="preserve">2.3 Motor B — Algoritmo de Dispersión 35/35/15/15</w:t>
      </w:r>
    </w:p>
    <w:p>
      <w:pPr>
        <w:spacing w:before="60" w:after="60"/>
        <w:jc w:val="left"/>
      </w:pPr>
      <w:r>
        <w:rPr>
          <w:rFonts w:ascii="Arial" w:cs="Arial" w:eastAsia="Arial" w:hAnsi="Arial"/>
          <w:b w:val="false"/>
          <w:bCs w:val="false"/>
          <w:i w:val="false"/>
          <w:iCs w:val="false"/>
          <w:color w:val="2C2C2C"/>
          <w:sz w:val="19"/>
          <w:szCs w:val="19"/>
        </w:rPr>
        <w:t xml:space="preserve">La regla de dispersión se aplica atómicamente en cada transacción mediante un único smart contract. El comportamiento difiere según el estado LUKAI activo:</w:t>
      </w:r>
    </w:p>
    <w:p>
      <w:pPr>
        <w:spacing w:before="60" w:after="0"/>
      </w:pPr>
      <w:r>
        <w:t xml:space="preserve"/>
      </w:r>
    </w:p>
    <w:p>
      <w:pPr>
        <w:pStyle w:val="ListParagraph"/>
        <w:numPr>
          <w:ilvl w:val="0"/>
          <w:numId w:val="2"/>
        </w:numPr>
        <w:spacing w:before="40" w:after="40"/>
      </w:pPr>
      <w:r>
        <w:rPr>
          <w:rFonts w:ascii="Arial" w:cs="Arial" w:eastAsia="Arial" w:hAnsi="Arial"/>
          <w:b w:val="false"/>
          <w:bCs w:val="false"/>
          <w:color w:val="2C2C2C"/>
          <w:sz w:val="20"/>
          <w:szCs w:val="20"/>
        </w:rPr>
        <w:t xml:space="preserve">Estado B0 (Deflación Agresiva): Burn layer opera al θ = 1.00–1.25. Deflación máxima. Sin compensación al Vault Sociedad.</w:t>
      </w:r>
    </w:p>
    <w:p>
      <w:pPr>
        <w:pStyle w:val="ListParagraph"/>
        <w:numPr>
          <w:ilvl w:val="0"/>
          <w:numId w:val="2"/>
        </w:numPr>
        <w:spacing w:before="40" w:after="40"/>
      </w:pPr>
      <w:r>
        <w:rPr>
          <w:rFonts w:ascii="Arial" w:cs="Arial" w:eastAsia="Arial" w:hAnsi="Arial"/>
          <w:b w:val="false"/>
          <w:bCs w:val="false"/>
          <w:color w:val="2C2C2C"/>
          <w:sz w:val="20"/>
          <w:szCs w:val="20"/>
        </w:rPr>
        <w:t xml:space="preserve">Estado B2 (Recirculación): Burn se reduce a θ = 0.25–0.60. Activación de compensación al Vault Sociedad desde R_op. Dividendos desde mes 13.</w:t>
      </w:r>
    </w:p>
    <w:p>
      <w:pPr>
        <w:pStyle w:val="ListParagraph"/>
        <w:numPr>
          <w:ilvl w:val="0"/>
          <w:numId w:val="2"/>
        </w:numPr>
        <w:spacing w:before="40" w:after="40"/>
      </w:pPr>
      <w:r>
        <w:rPr>
          <w:rFonts w:ascii="Arial" w:cs="Arial" w:eastAsia="Arial" w:hAnsi="Arial"/>
          <w:b w:val="false"/>
          <w:bCs w:val="false"/>
          <w:color w:val="2C2C2C"/>
          <w:sz w:val="20"/>
          <w:szCs w:val="20"/>
        </w:rPr>
        <w:t xml:space="preserve">Regla crítica: el fee base aplica a transacciones en Motor A y Motor B. Motor D aplica siempre fee fijo del 1.5%, independiente de la etapa de madurez.</w:t>
      </w:r>
    </w:p>
    <w:p>
      <w:pPr>
        <w:spacing w:before="100" w:after="0"/>
      </w:pPr>
      <w:r>
        <w:t xml:space="preserve"/>
      </w:r>
    </w:p>
    <w:p>
      <w:pPr>
        <w:pStyle w:val="Heading2"/>
        <w:pBdr>
          <w:bottom w:val="single" w:color="B8860B" w:sz="4" w:space="4"/>
        </w:pBdr>
        <w:spacing w:before="280" w:after="100"/>
      </w:pPr>
      <w:r>
        <w:rPr>
          <w:rFonts w:ascii="Arial" w:cs="Arial" w:eastAsia="Arial" w:hAnsi="Arial"/>
          <w:b/>
          <w:bCs/>
          <w:color w:val="2C2C2C"/>
          <w:sz w:val="26"/>
          <w:szCs w:val="26"/>
        </w:rPr>
        <w:t xml:space="preserve">2.4 Jaguar Shield — Throttle Dinámico (θ)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4"/>
            </w:tcBorders>
            <w:shd w:fill="FFF8E8" w:val="clear"/>
            <w:tcMar>
              <w:top w:type="dxa" w:w="120"/>
              <w:left w:type="dxa" w:w="200"/>
              <w:bottom w:type="dxa" w:w="120"/>
              <w:right w:type="dxa" w:w="200"/>
            </w:tcMar>
          </w:tcPr>
          <w:p>
            <w:r>
              <w:rPr>
                <w:rFonts w:ascii="Arial" w:cs="Arial" w:eastAsia="Arial" w:hAnsi="Arial"/>
                <w:i w:val="false"/>
                <w:iCs w:val="false"/>
                <w:color w:val="2C2C2C"/>
                <w:sz w:val="18"/>
                <w:szCs w:val="18"/>
              </w:rPr>
              <w:t xml:space="preserve">El Jaguar Shield es el mecanismo de control de riesgo más crítico del protocolo. Modula el comportamiento del Burn Layer según la relación entre P_mkt(t) y EMA30(t), previniendo la "Espiral de Muerte" donde el burn agresivo en mercados caídos amplifica la presión vendedora.
θ = 1.25 → Modo AGRESIVO: P_mkt ≥ 1.50 × EMA30 (mercado eufórico)
θ = 1.00 → Modo NORMAL: P_mkt en rango EMA30
θ = 0.60 → Modo CAUTELOSO: P_mkt ∈ [0.50, 0.75) × EMA30
θ = 0.25 → Modo DEFENSIVO: P_mkt &lt; 0.50 × EMA30 (crisis extrema)
Resultado cuantificado: reducción de la probabilidad de Espiral de Muerte de 8% → 1.4%</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4"/>
            </w:tcBorders>
            <w:shd w:fill="2C2A24" w:val="clear"/>
            <w:tcMar>
              <w:top w:type="dxa" w:w="120"/>
              <w:left w:type="dxa" w:w="200"/>
              <w:bottom w:type="dxa" w:w="120"/>
              <w:right w:type="dxa" w:w="200"/>
            </w:tcMar>
          </w:tcPr>
          <w:p>
            <w:pPr>
              <w:jc w:val="center"/>
            </w:pPr>
            <w:r>
              <w:rPr>
                <w:rFonts w:ascii="Arial" w:cs="Arial" w:eastAsia="Arial" w:hAnsi="Arial"/>
                <w:b/>
                <w:bCs/>
                <w:color w:val="B8860B"/>
                <w:sz w:val="28"/>
                <w:szCs w:val="28"/>
              </w:rPr>
              <w:t xml:space="preserve">ETAPA 3 · CONDICIONES INICIALES Y ESCENARIOS DE SIMULACIÓN</w:t>
            </w:r>
          </w:p>
        </w:tc>
      </w:tr>
    </w:tbl>
    <w:p>
      <w:pPr>
        <w:spacing w:before="100" w:after="0"/>
      </w:pPr>
      <w:r>
        <w:t xml:space="preserve"/>
      </w:r>
    </w:p>
    <w:p>
      <w:pPr>
        <w:pStyle w:val="Heading2"/>
        <w:pBdr>
          <w:bottom w:val="single" w:color="B8860B" w:sz="4" w:space="4"/>
        </w:pBdr>
        <w:spacing w:before="280" w:after="100"/>
      </w:pPr>
      <w:r>
        <w:rPr>
          <w:rFonts w:ascii="Arial" w:cs="Arial" w:eastAsia="Arial" w:hAnsi="Arial"/>
          <w:b/>
          <w:bCs/>
          <w:color w:val="2C2C2C"/>
          <w:sz w:val="26"/>
          <w:szCs w:val="26"/>
        </w:rPr>
        <w:t xml:space="preserve">3.1 Parámetros Base de la Simulación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Parámetro de Simulación</w:t>
            </w:r>
          </w:p>
        </w:tc>
        <w:tc>
          <w:tcPr>
            <w:tcW w:type="dxa" w:w="536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Valor</w:t>
            </w:r>
          </w:p>
        </w:tc>
      </w:tr>
      <w:tr>
        <w:tc>
          <w:tcPr>
            <w:tcW w:type="dxa" w:w="40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Iteraciones Monte Carlo</w:t>
            </w:r>
          </w:p>
        </w:tc>
        <w:tc>
          <w:tcPr>
            <w:tcW w:type="dxa" w:w="536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5,000 trayectorias independientes</w:t>
            </w:r>
          </w:p>
        </w:tc>
      </w:tr>
      <w:tr>
        <w:tc>
          <w:tcPr>
            <w:tcW w:type="dxa" w:w="40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Horizonte temporal</w:t>
            </w:r>
          </w:p>
        </w:tc>
        <w:tc>
          <w:tcPr>
            <w:tcW w:type="dxa" w:w="536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1,825 días (5 años)</w:t>
            </w:r>
          </w:p>
        </w:tc>
      </w:tr>
      <w:tr>
        <w:tc>
          <w:tcPr>
            <w:tcW w:type="dxa" w:w="40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Metodología de transición de mercado</w:t>
            </w:r>
          </w:p>
        </w:tc>
        <w:tc>
          <w:tcPr>
            <w:tcW w:type="dxa" w:w="536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Cadenas de Markov de 3 estados: BULL / NEUTRAL / BEAR</w:t>
            </w:r>
          </w:p>
        </w:tc>
      </w:tr>
      <w:tr>
        <w:tc>
          <w:tcPr>
            <w:tcW w:type="dxa" w:w="40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Capital inicial mínimo (K_min)</w:t>
            </w:r>
          </w:p>
        </w:tc>
        <w:tc>
          <w:tcPr>
            <w:tcW w:type="dxa" w:w="536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$25,000,000 USD en Vault Core</w:t>
            </w:r>
          </w:p>
        </w:tc>
      </w:tr>
      <w:tr>
        <w:tc>
          <w:tcPr>
            <w:tcW w:type="dxa" w:w="40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Umbral de Ruina Total</w:t>
            </w:r>
          </w:p>
        </w:tc>
        <w:tc>
          <w:tcPr>
            <w:tcW w:type="dxa" w:w="536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V_c &lt; 10% del capital inicial ($2.5M)</w:t>
            </w:r>
          </w:p>
        </w:tc>
      </w:tr>
      <w:tr>
        <w:tc>
          <w:tcPr>
            <w:tcW w:type="dxa" w:w="40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Supply objetivo (Fase 3)</w:t>
            </w:r>
          </w:p>
        </w:tc>
        <w:tc>
          <w:tcPr>
            <w:tcW w:type="dxa" w:w="536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3,300,000,000 $LUKA (Supply Fijo, Emisión Neta Cero)</w:t>
            </w:r>
          </w:p>
        </w:tc>
      </w:tr>
      <w:tr>
        <w:tc>
          <w:tcPr>
            <w:tcW w:type="dxa" w:w="40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Activación Motor B2</w:t>
            </w:r>
          </w:p>
        </w:tc>
        <w:tc>
          <w:tcPr>
            <w:tcW w:type="dxa" w:w="536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V_c ≥ K_min ($25M) o P_mkt &lt; EMA30 con drawdown crítico</w:t>
            </w:r>
          </w:p>
        </w:tc>
      </w:tr>
      <w:tr>
        <w:tc>
          <w:tcPr>
            <w:tcW w:type="dxa" w:w="40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Activación Jaguar Lock</w:t>
            </w:r>
          </w:p>
        </w:tc>
        <w:tc>
          <w:tcPr>
            <w:tcW w:type="dxa" w:w="536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$30,000,000 USD en Vault O 12 meses transcurridos (lo primero)</w:t>
            </w:r>
          </w:p>
        </w:tc>
      </w:tr>
      <w:tr>
        <w:tc>
          <w:tcPr>
            <w:tcW w:type="dxa" w:w="40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Supply inicial</w:t>
            </w:r>
          </w:p>
        </w:tc>
        <w:tc>
          <w:tcPr>
            <w:tcW w:type="dxa" w:w="536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10,000,000,000 $LUKA (10B)</w:t>
            </w:r>
          </w:p>
        </w:tc>
      </w:tr>
      <w:tr>
        <w:tc>
          <w:tcPr>
            <w:tcW w:type="dxa" w:w="40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Precio TGE (P_kash inicial)</w:t>
            </w:r>
          </w:p>
        </w:tc>
        <w:tc>
          <w:tcPr>
            <w:tcW w:type="dxa" w:w="536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$0.0001 USD por $LUKA</w:t>
            </w:r>
          </w:p>
        </w:tc>
      </w:tr>
    </w:tbl>
    <w:p>
      <w:pPr>
        <w:spacing w:before="120" w:after="0"/>
      </w:pPr>
      <w:r>
        <w:t xml:space="preserve"/>
      </w:r>
    </w:p>
    <w:p>
      <w:pPr>
        <w:pStyle w:val="Heading2"/>
        <w:pBdr>
          <w:bottom w:val="single" w:color="B8860B" w:sz="4" w:space="4"/>
        </w:pBdr>
        <w:spacing w:before="280" w:after="100"/>
      </w:pPr>
      <w:r>
        <w:rPr>
          <w:rFonts w:ascii="Arial" w:cs="Arial" w:eastAsia="Arial" w:hAnsi="Arial"/>
          <w:b/>
          <w:bCs/>
          <w:color w:val="2C2C2C"/>
          <w:sz w:val="26"/>
          <w:szCs w:val="26"/>
        </w:rPr>
        <w:t xml:space="preserve">3.2 Composición del Vault Core — Condiciones Iniciales</w:t>
      </w:r>
    </w:p>
    <w:p>
      <w:pPr>
        <w:spacing w:before="60" w:after="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1000"/>
      </w:tblGrid>
      <w:tr>
        <w:tc>
          <w:tcPr>
            <w:tcW w:type="dxa" w:w="22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Activo</w:t>
            </w:r>
          </w:p>
        </w:tc>
        <w:tc>
          <w:tcPr>
            <w:tcW w:type="dxa" w:w="16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Asignación</w:t>
            </w:r>
          </w:p>
        </w:tc>
        <w:tc>
          <w:tcPr>
            <w:tcW w:type="dxa" w:w="22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Monto Inicial ($25M)</w:t>
            </w:r>
          </w:p>
        </w:tc>
        <w:tc>
          <w:tcPr>
            <w:tcW w:type="dxa" w:w="10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Perfil de Riesgo</w:t>
            </w:r>
          </w:p>
        </w:tc>
      </w:tr>
      <w:tr>
        <w:tc>
          <w:tcPr>
            <w:tcW w:type="dxa" w:w="22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cBTC (Bitcoin nativo Solana)</w:t>
            </w:r>
          </w:p>
        </w:tc>
        <w:tc>
          <w:tcPr>
            <w:tcW w:type="dxa" w:w="16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35%</w:t>
            </w:r>
          </w:p>
        </w:tc>
        <w:tc>
          <w:tcPr>
            <w:tcW w:type="dxa" w:w="22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$8,750,000</w:t>
            </w:r>
          </w:p>
        </w:tc>
        <w:tc>
          <w:tcPr>
            <w:tcW w:type="dxa" w:w="10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8B1A1A"/>
                <w:sz w:val="18"/>
                <w:szCs w:val="18"/>
              </w:rPr>
              <w:t xml:space="preserve">ALTO</w:t>
            </w:r>
          </w:p>
        </w:tc>
      </w:tr>
      <w:tr>
        <w:tc>
          <w:tcPr>
            <w:tcW w:type="dxa" w:w="22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SOL/LST (JitoSOL, mSOL)</w:t>
            </w:r>
          </w:p>
        </w:tc>
        <w:tc>
          <w:tcPr>
            <w:tcW w:type="dxa" w:w="16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bCs/>
                <w:i w:val="false"/>
                <w:iCs w:val="false"/>
                <w:color w:val="1A3A6B"/>
                <w:sz w:val="18"/>
                <w:szCs w:val="18"/>
              </w:rPr>
              <w:t xml:space="preserve">20%</w:t>
            </w:r>
          </w:p>
        </w:tc>
        <w:tc>
          <w:tcPr>
            <w:tcW w:type="dxa" w:w="22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$5,000,000</w:t>
            </w:r>
          </w:p>
        </w:tc>
        <w:tc>
          <w:tcPr>
            <w:tcW w:type="dxa" w:w="10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bCs/>
                <w:i w:val="false"/>
                <w:iCs w:val="false"/>
                <w:color w:val="8B1A1A"/>
                <w:sz w:val="18"/>
                <w:szCs w:val="18"/>
              </w:rPr>
              <w:t xml:space="preserve">ALTO</w:t>
            </w:r>
          </w:p>
        </w:tc>
      </w:tr>
      <w:tr>
        <w:tc>
          <w:tcPr>
            <w:tcW w:type="dxa" w:w="22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SOL directo</w:t>
            </w:r>
          </w:p>
        </w:tc>
        <w:tc>
          <w:tcPr>
            <w:tcW w:type="dxa" w:w="16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A3A6B"/>
                <w:sz w:val="18"/>
                <w:szCs w:val="18"/>
              </w:rPr>
              <w:t xml:space="preserve">15%</w:t>
            </w:r>
          </w:p>
        </w:tc>
        <w:tc>
          <w:tcPr>
            <w:tcW w:type="dxa" w:w="22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$3,750,000</w:t>
            </w:r>
          </w:p>
        </w:tc>
        <w:tc>
          <w:tcPr>
            <w:tcW w:type="dxa" w:w="10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8B1A1A"/>
                <w:sz w:val="18"/>
                <w:szCs w:val="18"/>
              </w:rPr>
              <w:t xml:space="preserve">ALTO</w:t>
            </w:r>
          </w:p>
        </w:tc>
      </w:tr>
      <w:tr>
        <w:tc>
          <w:tcPr>
            <w:tcW w:type="dxa" w:w="22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USDC (reserva estable)</w:t>
            </w:r>
          </w:p>
        </w:tc>
        <w:tc>
          <w:tcPr>
            <w:tcW w:type="dxa" w:w="16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bCs/>
                <w:i w:val="false"/>
                <w:iCs w:val="false"/>
                <w:color w:val="1A6B3A"/>
                <w:sz w:val="18"/>
                <w:szCs w:val="18"/>
              </w:rPr>
              <w:t xml:space="preserve">25%</w:t>
            </w:r>
          </w:p>
        </w:tc>
        <w:tc>
          <w:tcPr>
            <w:tcW w:type="dxa" w:w="22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$6,250,000</w:t>
            </w:r>
          </w:p>
        </w:tc>
        <w:tc>
          <w:tcPr>
            <w:tcW w:type="dxa" w:w="10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bCs/>
                <w:i w:val="false"/>
                <w:iCs w:val="false"/>
                <w:color w:val="1A6B3A"/>
                <w:sz w:val="18"/>
                <w:szCs w:val="18"/>
              </w:rPr>
              <w:t xml:space="preserve">MUY BAJO</w:t>
            </w:r>
          </w:p>
        </w:tc>
      </w:tr>
      <w:tr>
        <w:tc>
          <w:tcPr>
            <w:tcW w:type="dxa" w:w="22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USDC lending</w:t>
            </w:r>
          </w:p>
        </w:tc>
        <w:tc>
          <w:tcPr>
            <w:tcW w:type="dxa" w:w="16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A6B3A"/>
                <w:sz w:val="18"/>
                <w:szCs w:val="18"/>
              </w:rPr>
              <w:t xml:space="preserve">5%</w:t>
            </w:r>
          </w:p>
        </w:tc>
        <w:tc>
          <w:tcPr>
            <w:tcW w:type="dxa" w:w="22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$1,250,000</w:t>
            </w:r>
          </w:p>
        </w:tc>
        <w:tc>
          <w:tcPr>
            <w:tcW w:type="dxa" w:w="10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A6B3A"/>
                <w:sz w:val="18"/>
                <w:szCs w:val="18"/>
              </w:rPr>
              <w:t xml:space="preserve">BAJO</w:t>
            </w:r>
          </w:p>
        </w:tc>
      </w:tr>
      <w:tr>
        <w:tc>
          <w:tcPr>
            <w:tcW w:type="dxa" w:w="22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PYTH + JTO</w:t>
            </w:r>
          </w:p>
        </w:tc>
        <w:tc>
          <w:tcPr>
            <w:tcW w:type="dxa" w:w="16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bCs/>
                <w:i w:val="false"/>
                <w:iCs w:val="false"/>
                <w:color w:val="D4870A"/>
                <w:sz w:val="18"/>
                <w:szCs w:val="18"/>
              </w:rPr>
              <w:t xml:space="preserve">5%</w:t>
            </w:r>
          </w:p>
        </w:tc>
        <w:tc>
          <w:tcPr>
            <w:tcW w:type="dxa" w:w="22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$1,250,000</w:t>
            </w:r>
          </w:p>
        </w:tc>
        <w:tc>
          <w:tcPr>
            <w:tcW w:type="dxa" w:w="10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bCs/>
                <w:i w:val="false"/>
                <w:iCs w:val="false"/>
                <w:color w:val="D4870A"/>
                <w:sz w:val="18"/>
                <w:szCs w:val="18"/>
              </w:rPr>
              <w:t xml:space="preserve">MEDIO</w:t>
            </w:r>
          </w:p>
        </w:tc>
      </w:tr>
    </w:tbl>
    <w:p>
      <w:pPr>
        <w:spacing w:before="120" w:after="0"/>
      </w:pPr>
      <w:r>
        <w:t xml:space="preserve"/>
      </w:r>
    </w:p>
    <w:p>
      <w:pPr>
        <w:pStyle w:val="Heading2"/>
        <w:pBdr>
          <w:bottom w:val="single" w:color="B8860B" w:sz="4" w:space="4"/>
        </w:pBdr>
        <w:spacing w:before="280" w:after="100"/>
      </w:pPr>
      <w:r>
        <w:rPr>
          <w:rFonts w:ascii="Arial" w:cs="Arial" w:eastAsia="Arial" w:hAnsi="Arial"/>
          <w:b/>
          <w:bCs/>
          <w:color w:val="2C2C2C"/>
          <w:sz w:val="26"/>
          <w:szCs w:val="26"/>
        </w:rPr>
        <w:t xml:space="preserve">3.3 Escenarios de Simulación con Cadenas de Markov</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Escenario</w:t>
            </w:r>
          </w:p>
        </w:tc>
        <w:tc>
          <w:tcPr>
            <w:tcW w:type="dxa" w:w="22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Descripción</w:t>
            </w:r>
          </w:p>
        </w:tc>
        <w:tc>
          <w:tcPr>
            <w:tcW w:type="dxa" w:w="22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Condición de Estrés</w:t>
            </w:r>
          </w:p>
        </w:tc>
        <w:tc>
          <w:tcPr>
            <w:tcW w:type="dxa" w:w="296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Variables Afectadas</w:t>
            </w:r>
          </w:p>
        </w:tc>
      </w:tr>
      <w:tr>
        <w:tc>
          <w:tcPr>
            <w:tcW w:type="dxa" w:w="20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Bull/Bear/Neutral</w:t>
            </w:r>
          </w:p>
        </w:tc>
        <w:tc>
          <w:tcPr>
            <w:tcW w:type="dxa" w:w="22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Transiciones de mercado via Cadenas de Markov (π_BULL=28.9%, π_NEUTRAL=47.3%, π_BEAR=23.8%)</w:t>
            </w:r>
          </w:p>
        </w:tc>
        <w:tc>
          <w:tcPr>
            <w:tcW w:type="dxa" w:w="22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Ciclos completos de 12-18 meses simulados</w:t>
            </w:r>
          </w:p>
        </w:tc>
        <w:tc>
          <w:tcPr>
            <w:tcW w:type="dxa" w:w="296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V_c, P_mkt, Vol_DEX, Throttle θ, Jaguar Score JS(t)</w:t>
            </w:r>
          </w:p>
        </w:tc>
      </w:tr>
      <w:tr>
        <w:tc>
          <w:tcPr>
            <w:tcW w:type="dxa" w:w="20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Shock de Liquidez</w:t>
            </w:r>
          </w:p>
        </w:tc>
        <w:tc>
          <w:tcPr>
            <w:tcW w:type="dxa" w:w="22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Salida del 50% del capital LP en &lt; 48 horas. Simulación de pánico de mercado tipo FTX/LUNA</w:t>
            </w:r>
          </w:p>
        </w:tc>
        <w:tc>
          <w:tcPr>
            <w:tcW w:type="dxa" w:w="22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Drawdown instantáneo del 40-60% del Vault en activos volátiles</w:t>
            </w:r>
          </w:p>
        </w:tc>
        <w:tc>
          <w:tcPr>
            <w:tcW w:type="dxa" w:w="296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Circuit Breaker activado, θ → 0.25, P_mkt colapso, Motor B2 forzado</w:t>
            </w:r>
          </w:p>
        </w:tc>
      </w:tr>
      <w:tr>
        <w:tc>
          <w:tcPr>
            <w:tcW w:type="dxa" w:w="20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Adopción Orgánica (sin especulación)</w:t>
            </w:r>
          </w:p>
        </w:tc>
        <w:tc>
          <w:tcPr>
            <w:tcW w:type="dxa" w:w="22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Alto uso del Motor D (Manadas activas) y Motor B con bajo trading externo. k_viral &gt; 2.3</w:t>
            </w:r>
          </w:p>
        </w:tc>
        <w:tc>
          <w:tcPr>
            <w:tcW w:type="dxa" w:w="22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Motor A reducido; Motor D = principal fuente de ingreso</w:t>
            </w:r>
          </w:p>
        </w:tc>
        <w:tc>
          <w:tcPr>
            <w:tcW w:type="dxa" w:w="296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Jaguar Score alto, retención elevada, ingreso base estable independiente de ciclo macro</w:t>
            </w:r>
          </w:p>
        </w:tc>
      </w:tr>
      <w:tr>
        <w:tc>
          <w:tcPr>
            <w:tcW w:type="dxa" w:w="20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Estancamiento</w:t>
            </w:r>
          </w:p>
        </w:tc>
        <w:tc>
          <w:tcPr>
            <w:tcW w:type="dxa" w:w="22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Adopción mínima (~10K usuarios activos). Motor A bajo. Motor D mínimo. Ciclo BEAR prolongado.</w:t>
            </w:r>
          </w:p>
        </w:tc>
        <w:tc>
          <w:tcPr>
            <w:tcW w:type="dxa" w:w="22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V_c crece solo por yield del Vault (LST + lending). P_kash convergencia lenta.</w:t>
            </w:r>
          </w:p>
        </w:tc>
        <w:tc>
          <w:tcPr>
            <w:tcW w:type="dxa" w:w="296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Vault P50 Año 5 = $12.4M; P_kash = $0.0038 (38x vs TGE). Sistema subsiste.</w:t>
            </w:r>
          </w:p>
        </w:tc>
      </w:tr>
      <w:tr>
        <w:tc>
          <w:tcPr>
            <w:tcW w:type="dxa" w:w="20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Black Swan Extremo</w:t>
            </w:r>
          </w:p>
        </w:tc>
        <w:tc>
          <w:tcPr>
            <w:tcW w:type="dxa" w:w="22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Evento tipo colapso FTX: -80% en cBTC/SOL en 72h. λ_swan = 0.8 eventos/año.</w:t>
            </w:r>
          </w:p>
        </w:tc>
        <w:tc>
          <w:tcPr>
            <w:tcW w:type="dxa" w:w="22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BTC cae -80% → Vault pierde ~28% en USD (efecto concentración 35% cBTC)</w:t>
            </w:r>
          </w:p>
        </w:tc>
        <w:tc>
          <w:tcPr>
            <w:tcW w:type="dxa" w:w="296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USDC 25% actúa como amortiguador. Módulo contra-cíclico acumula. Sistema no entra en ruina.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4"/>
            </w:tcBorders>
            <w:shd w:fill="2C2A24" w:val="clear"/>
            <w:tcMar>
              <w:top w:type="dxa" w:w="120"/>
              <w:left w:type="dxa" w:w="200"/>
              <w:bottom w:type="dxa" w:w="120"/>
              <w:right w:type="dxa" w:w="200"/>
            </w:tcMar>
          </w:tcPr>
          <w:p>
            <w:pPr>
              <w:jc w:val="center"/>
            </w:pPr>
            <w:r>
              <w:rPr>
                <w:rFonts w:ascii="Arial" w:cs="Arial" w:eastAsia="Arial" w:hAnsi="Arial"/>
                <w:b/>
                <w:bCs/>
                <w:color w:val="B8860B"/>
                <w:sz w:val="28"/>
                <w:szCs w:val="28"/>
              </w:rPr>
              <w:t xml:space="preserve">ETAPA 4 · MÉTRICAS DE RESULTADO Y CONVERGENCIA</w:t>
            </w:r>
          </w:p>
        </w:tc>
      </w:tr>
    </w:tbl>
    <w:p>
      <w:pPr>
        <w:spacing w:before="100" w:after="0"/>
      </w:pPr>
      <w:r>
        <w:t xml:space="preserve"/>
      </w:r>
    </w:p>
    <w:p>
      <w:pPr>
        <w:pStyle w:val="Heading2"/>
        <w:pBdr>
          <w:bottom w:val="single" w:color="B8860B" w:sz="4" w:space="4"/>
        </w:pBdr>
        <w:spacing w:before="280" w:after="100"/>
      </w:pPr>
      <w:r>
        <w:rPr>
          <w:rFonts w:ascii="Arial" w:cs="Arial" w:eastAsia="Arial" w:hAnsi="Arial"/>
          <w:b/>
          <w:bCs/>
          <w:color w:val="2C2C2C"/>
          <w:sz w:val="26"/>
          <w:szCs w:val="26"/>
        </w:rPr>
        <w:t xml:space="preserve">4.1 Proyección del Vault Core — Distribución P25/P50/P75</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500"/>
        <w:gridCol w:w="1500"/>
        <w:gridCol w:w="1500"/>
        <w:gridCol w:w="2160"/>
      </w:tblGrid>
      <w:tr>
        <w:tc>
          <w:tcPr>
            <w:tcW w:type="dxa" w:w="12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Año</w:t>
            </w:r>
          </w:p>
        </w:tc>
        <w:tc>
          <w:tcPr>
            <w:tcW w:type="dxa" w:w="15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P25 (Pesimista)</w:t>
            </w:r>
          </w:p>
        </w:tc>
        <w:tc>
          <w:tcPr>
            <w:tcW w:type="dxa" w:w="15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P50 Mediana</w:t>
            </w:r>
          </w:p>
        </w:tc>
        <w:tc>
          <w:tcPr>
            <w:tcW w:type="dxa" w:w="15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P75 (Optimista)</w:t>
            </w:r>
          </w:p>
        </w:tc>
        <w:tc>
          <w:tcPr>
            <w:tcW w:type="dxa" w:w="15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Estancamiento</w:t>
            </w:r>
          </w:p>
        </w:tc>
        <w:tc>
          <w:tcPr>
            <w:tcW w:type="dxa" w:w="216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Estado LUKAI Esperado</w:t>
            </w:r>
          </w:p>
        </w:tc>
      </w:tr>
      <w:tr>
        <w:tc>
          <w:tcPr>
            <w:tcW w:type="dxa" w:w="12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Inicial</w:t>
            </w:r>
          </w:p>
        </w:tc>
        <w:tc>
          <w:tcPr>
            <w:tcW w:type="dxa" w:w="15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$25.0M</w:t>
            </w:r>
          </w:p>
        </w:tc>
        <w:tc>
          <w:tcPr>
            <w:tcW w:type="dxa" w:w="15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A1A1A"/>
                <w:sz w:val="18"/>
                <w:szCs w:val="18"/>
              </w:rPr>
              <w:t xml:space="preserve">$25.0M</w:t>
            </w:r>
          </w:p>
        </w:tc>
        <w:tc>
          <w:tcPr>
            <w:tcW w:type="dxa" w:w="15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$25.0M</w:t>
            </w:r>
          </w:p>
        </w:tc>
        <w:tc>
          <w:tcPr>
            <w:tcW w:type="dxa" w:w="15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$25.0M</w:t>
            </w:r>
          </w:p>
        </w:tc>
        <w:tc>
          <w:tcPr>
            <w:tcW w:type="dxa" w:w="216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3A6B"/>
                <w:sz w:val="18"/>
                <w:szCs w:val="18"/>
              </w:rPr>
              <w:t xml:space="preserve">B0 (pre-hito)</w:t>
            </w:r>
          </w:p>
        </w:tc>
      </w:tr>
      <w:tr>
        <w:tc>
          <w:tcPr>
            <w:tcW w:type="dxa" w:w="12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Año 1</w:t>
            </w:r>
          </w:p>
        </w:tc>
        <w:tc>
          <w:tcPr>
            <w:tcW w:type="dxa" w:w="15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$16.2M</w:t>
            </w:r>
          </w:p>
        </w:tc>
        <w:tc>
          <w:tcPr>
            <w:tcW w:type="dxa" w:w="15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bCs/>
                <w:i w:val="false"/>
                <w:iCs w:val="false"/>
                <w:color w:val="1A1A1A"/>
                <w:sz w:val="18"/>
                <w:szCs w:val="18"/>
              </w:rPr>
              <w:t xml:space="preserve">$20.9M</w:t>
            </w:r>
          </w:p>
        </w:tc>
        <w:tc>
          <w:tcPr>
            <w:tcW w:type="dxa" w:w="15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$28.4M</w:t>
            </w:r>
          </w:p>
        </w:tc>
        <w:tc>
          <w:tcPr>
            <w:tcW w:type="dxa" w:w="15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$14.1M</w:t>
            </w:r>
          </w:p>
        </w:tc>
        <w:tc>
          <w:tcPr>
            <w:tcW w:type="dxa" w:w="216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bCs/>
                <w:i w:val="false"/>
                <w:iCs w:val="false"/>
                <w:color w:val="D4870A"/>
                <w:sz w:val="18"/>
                <w:szCs w:val="18"/>
              </w:rPr>
              <w:t xml:space="preserve">B0→B2 transición (86.1% prob.)</w:t>
            </w:r>
          </w:p>
        </w:tc>
      </w:tr>
      <w:tr>
        <w:tc>
          <w:tcPr>
            <w:tcW w:type="dxa" w:w="12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Año 2</w:t>
            </w:r>
          </w:p>
        </w:tc>
        <w:tc>
          <w:tcPr>
            <w:tcW w:type="dxa" w:w="15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$18.9M</w:t>
            </w:r>
          </w:p>
        </w:tc>
        <w:tc>
          <w:tcPr>
            <w:tcW w:type="dxa" w:w="15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A1A1A"/>
                <w:sz w:val="18"/>
                <w:szCs w:val="18"/>
              </w:rPr>
              <w:t xml:space="preserve">$29.6M</w:t>
            </w:r>
          </w:p>
        </w:tc>
        <w:tc>
          <w:tcPr>
            <w:tcW w:type="dxa" w:w="15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$44.7M</w:t>
            </w:r>
          </w:p>
        </w:tc>
        <w:tc>
          <w:tcPr>
            <w:tcW w:type="dxa" w:w="15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$13.2M</w:t>
            </w:r>
          </w:p>
        </w:tc>
        <w:tc>
          <w:tcPr>
            <w:tcW w:type="dxa" w:w="216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B8860B"/>
                <w:sz w:val="18"/>
                <w:szCs w:val="18"/>
              </w:rPr>
              <w:t xml:space="preserve">B2 activo (dividendos mes 13+)</w:t>
            </w:r>
          </w:p>
        </w:tc>
      </w:tr>
      <w:tr>
        <w:tc>
          <w:tcPr>
            <w:tcW w:type="dxa" w:w="12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Año 3</w:t>
            </w:r>
          </w:p>
        </w:tc>
        <w:tc>
          <w:tcPr>
            <w:tcW w:type="dxa" w:w="15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$20.1M</w:t>
            </w:r>
          </w:p>
        </w:tc>
        <w:tc>
          <w:tcPr>
            <w:tcW w:type="dxa" w:w="15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bCs/>
                <w:i w:val="false"/>
                <w:iCs w:val="false"/>
                <w:color w:val="1A1A1A"/>
                <w:sz w:val="18"/>
                <w:szCs w:val="18"/>
              </w:rPr>
              <w:t xml:space="preserve">$33.7M</w:t>
            </w:r>
          </w:p>
        </w:tc>
        <w:tc>
          <w:tcPr>
            <w:tcW w:type="dxa" w:w="15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$54.2M</w:t>
            </w:r>
          </w:p>
        </w:tc>
        <w:tc>
          <w:tcPr>
            <w:tcW w:type="dxa" w:w="15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$12.8M</w:t>
            </w:r>
          </w:p>
        </w:tc>
        <w:tc>
          <w:tcPr>
            <w:tcW w:type="dxa" w:w="216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bCs/>
                <w:i w:val="false"/>
                <w:iCs w:val="false"/>
                <w:color w:val="B8860B"/>
                <w:sz w:val="18"/>
                <w:szCs w:val="18"/>
              </w:rPr>
              <w:t xml:space="preserve">B2 — Fase Soberanía activa</w:t>
            </w:r>
          </w:p>
        </w:tc>
      </w:tr>
      <w:tr>
        <w:tc>
          <w:tcPr>
            <w:tcW w:type="dxa" w:w="12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Año 5</w:t>
            </w:r>
          </w:p>
        </w:tc>
        <w:tc>
          <w:tcPr>
            <w:tcW w:type="dxa" w:w="15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$18.9M</w:t>
            </w:r>
          </w:p>
        </w:tc>
        <w:tc>
          <w:tcPr>
            <w:tcW w:type="dxa" w:w="15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$37.2M</w:t>
            </w:r>
          </w:p>
        </w:tc>
        <w:tc>
          <w:tcPr>
            <w:tcW w:type="dxa" w:w="15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A6B3A"/>
                <w:sz w:val="18"/>
                <w:szCs w:val="18"/>
              </w:rPr>
              <w:t xml:space="preserve">$67.1M</w:t>
            </w:r>
          </w:p>
        </w:tc>
        <w:tc>
          <w:tcPr>
            <w:tcW w:type="dxa" w:w="15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$12.4M</w:t>
            </w:r>
          </w:p>
        </w:tc>
        <w:tc>
          <w:tcPr>
            <w:tcW w:type="dxa" w:w="216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6B3A"/>
                <w:sz w:val="18"/>
                <w:szCs w:val="18"/>
              </w:rPr>
              <w:t xml:space="preserve">Motor C activo — Supply fijo 3.3B</w:t>
            </w:r>
          </w:p>
        </w:tc>
      </w:tr>
    </w:tbl>
    <w:p>
      <w:pPr>
        <w:spacing w:before="100" w:after="0"/>
      </w:pPr>
      <w:r>
        <w:t xml:space="preserve"/>
      </w:r>
    </w:p>
    <w:p>
      <w:pPr>
        <w:pStyle w:val="Heading2"/>
        <w:pBdr>
          <w:bottom w:val="single" w:color="B8860B" w:sz="4" w:space="4"/>
        </w:pBdr>
        <w:spacing w:before="280" w:after="100"/>
      </w:pPr>
      <w:r>
        <w:rPr>
          <w:rFonts w:ascii="Arial" w:cs="Arial" w:eastAsia="Arial" w:hAnsi="Arial"/>
          <w:b/>
          <w:bCs/>
          <w:color w:val="2C2C2C"/>
          <w:sz w:val="26"/>
          <w:szCs w:val="26"/>
        </w:rPr>
        <w:t xml:space="preserve">4.2 Precio KASH (P_kash) — Convergencia hacia Objetivo 113x</w:t>
      </w:r>
    </w:p>
    <w:p>
      <w:pPr>
        <w:spacing w:before="60" w:after="60"/>
        <w:jc w:val="left"/>
      </w:pPr>
      <w:r>
        <w:rPr>
          <w:rFonts w:ascii="Arial" w:cs="Arial" w:eastAsia="Arial" w:hAnsi="Arial"/>
          <w:b w:val="false"/>
          <w:bCs w:val="false"/>
          <w:i w:val="false"/>
          <w:iCs w:val="false"/>
          <w:color w:val="2C2C2C"/>
          <w:sz w:val="19"/>
          <w:szCs w:val="19"/>
        </w:rPr>
        <w:t xml:space="preserve">P_KASH(t) = V_c(t) / S(t). El Precio KASH es el piso de valor institucional garantizado por el protocolo con activos reales. Es monotónicamente creciente siempre que V_c crezca O S decreza. La deflación activa de 10B → 3.3B tokens amplifica el efecto incluso sin crecimiento del Vault.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600"/>
        <w:gridCol w:w="1600"/>
        <w:gridCol w:w="1960"/>
      </w:tblGrid>
      <w:tr>
        <w:tc>
          <w:tcPr>
            <w:tcW w:type="dxa" w:w="14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Año</w:t>
            </w:r>
          </w:p>
        </w:tc>
        <w:tc>
          <w:tcPr>
            <w:tcW w:type="dxa" w:w="16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Vault (P50)</w:t>
            </w:r>
          </w:p>
        </w:tc>
        <w:tc>
          <w:tcPr>
            <w:tcW w:type="dxa" w:w="16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Supply Objetivo</w:t>
            </w:r>
          </w:p>
        </w:tc>
        <w:tc>
          <w:tcPr>
            <w:tcW w:type="dxa" w:w="16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P_kash (P50)</w:t>
            </w:r>
          </w:p>
        </w:tc>
        <w:tc>
          <w:tcPr>
            <w:tcW w:type="dxa" w:w="16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Múltiplo vs TGE</w:t>
            </w:r>
          </w:p>
        </w:tc>
        <w:tc>
          <w:tcPr>
            <w:tcW w:type="dxa" w:w="196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P_kash P25–P75</w:t>
            </w:r>
          </w:p>
        </w:tc>
      </w:tr>
      <w:tr>
        <w:tc>
          <w:tcPr>
            <w:tcW w:type="dxa" w:w="14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TGE</w:t>
            </w:r>
          </w:p>
        </w:tc>
        <w:tc>
          <w:tcPr>
            <w:tcW w:type="dxa" w:w="16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$25.0M</w:t>
            </w:r>
          </w:p>
        </w:tc>
        <w:tc>
          <w:tcPr>
            <w:tcW w:type="dxa" w:w="16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10.0B $LUKA</w:t>
            </w:r>
          </w:p>
        </w:tc>
        <w:tc>
          <w:tcPr>
            <w:tcW w:type="dxa" w:w="16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A1A1A"/>
                <w:sz w:val="18"/>
                <w:szCs w:val="18"/>
              </w:rPr>
              <w:t xml:space="preserve">$0.0001</w:t>
            </w:r>
          </w:p>
        </w:tc>
        <w:tc>
          <w:tcPr>
            <w:tcW w:type="dxa" w:w="16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1x (base)</w:t>
            </w:r>
          </w:p>
        </w:tc>
        <w:tc>
          <w:tcPr>
            <w:tcW w:type="dxa" w:w="196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w:t>
            </w:r>
          </w:p>
        </w:tc>
      </w:tr>
      <w:tr>
        <w:tc>
          <w:tcPr>
            <w:tcW w:type="dxa" w:w="14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Año 1</w:t>
            </w:r>
          </w:p>
        </w:tc>
        <w:tc>
          <w:tcPr>
            <w:tcW w:type="dxa" w:w="16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$20.9M</w:t>
            </w:r>
          </w:p>
        </w:tc>
        <w:tc>
          <w:tcPr>
            <w:tcW w:type="dxa" w:w="16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3.3B $LUKA</w:t>
            </w:r>
          </w:p>
        </w:tc>
        <w:tc>
          <w:tcPr>
            <w:tcW w:type="dxa" w:w="16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$0.0063</w:t>
            </w:r>
          </w:p>
        </w:tc>
        <w:tc>
          <w:tcPr>
            <w:tcW w:type="dxa" w:w="16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63x</w:t>
            </w:r>
          </w:p>
        </w:tc>
        <w:tc>
          <w:tcPr>
            <w:tcW w:type="dxa" w:w="196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$0.0038 – $0.0091</w:t>
            </w:r>
          </w:p>
        </w:tc>
      </w:tr>
      <w:tr>
        <w:tc>
          <w:tcPr>
            <w:tcW w:type="dxa" w:w="14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Año 2</w:t>
            </w:r>
          </w:p>
        </w:tc>
        <w:tc>
          <w:tcPr>
            <w:tcW w:type="dxa" w:w="16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$29.6M</w:t>
            </w:r>
          </w:p>
        </w:tc>
        <w:tc>
          <w:tcPr>
            <w:tcW w:type="dxa" w:w="16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3.3B $LUKA</w:t>
            </w:r>
          </w:p>
        </w:tc>
        <w:tc>
          <w:tcPr>
            <w:tcW w:type="dxa" w:w="16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$0.0090</w:t>
            </w:r>
          </w:p>
        </w:tc>
        <w:tc>
          <w:tcPr>
            <w:tcW w:type="dxa" w:w="16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90x</w:t>
            </w:r>
          </w:p>
        </w:tc>
        <w:tc>
          <w:tcPr>
            <w:tcW w:type="dxa" w:w="196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$0.0054 – $0.0135</w:t>
            </w:r>
          </w:p>
        </w:tc>
      </w:tr>
      <w:tr>
        <w:tc>
          <w:tcPr>
            <w:tcW w:type="dxa" w:w="14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Año 3</w:t>
            </w:r>
          </w:p>
        </w:tc>
        <w:tc>
          <w:tcPr>
            <w:tcW w:type="dxa" w:w="16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$33.7M</w:t>
            </w:r>
          </w:p>
        </w:tc>
        <w:tc>
          <w:tcPr>
            <w:tcW w:type="dxa" w:w="16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3.3B $LUKA</w:t>
            </w:r>
          </w:p>
        </w:tc>
        <w:tc>
          <w:tcPr>
            <w:tcW w:type="dxa" w:w="16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$0.0102</w:t>
            </w:r>
          </w:p>
        </w:tc>
        <w:tc>
          <w:tcPr>
            <w:tcW w:type="dxa" w:w="16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102x</w:t>
            </w:r>
          </w:p>
        </w:tc>
        <w:tc>
          <w:tcPr>
            <w:tcW w:type="dxa" w:w="196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$0.0061 – $0.0164</w:t>
            </w:r>
          </w:p>
        </w:tc>
      </w:tr>
      <w:tr>
        <w:tc>
          <w:tcPr>
            <w:tcW w:type="dxa" w:w="14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Año 5</w:t>
            </w:r>
          </w:p>
        </w:tc>
        <w:tc>
          <w:tcPr>
            <w:tcW w:type="dxa" w:w="16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$37.2M</w:t>
            </w:r>
          </w:p>
        </w:tc>
        <w:tc>
          <w:tcPr>
            <w:tcW w:type="dxa" w:w="16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3.3B $LUKA</w:t>
            </w:r>
          </w:p>
        </w:tc>
        <w:tc>
          <w:tcPr>
            <w:tcW w:type="dxa" w:w="16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22"/>
                <w:szCs w:val="22"/>
              </w:rPr>
              <w:t xml:space="preserve">$0.0113</w:t>
            </w:r>
          </w:p>
        </w:tc>
        <w:tc>
          <w:tcPr>
            <w:tcW w:type="dxa" w:w="16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22"/>
                <w:szCs w:val="22"/>
              </w:rPr>
              <w:t xml:space="preserve">113x ✓</w:t>
            </w:r>
          </w:p>
        </w:tc>
        <w:tc>
          <w:tcPr>
            <w:tcW w:type="dxa" w:w="196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$0.0057 – $0.0203 (P25–P75)</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4"/>
              <w:left w:val="single" w:color="1A3A6B" w:sz="4"/>
              <w:bottom w:val="single" w:color="1A3A6B" w:sz="4"/>
              <w:right w:val="single" w:color="1A3A6B" w:sz="4"/>
            </w:tcBorders>
            <w:shd w:fill="EAF4FF" w:val="clear"/>
            <w:tcMar>
              <w:top w:type="dxa" w:w="120"/>
              <w:left w:type="dxa" w:w="200"/>
              <w:bottom w:type="dxa" w:w="120"/>
              <w:right w:type="dxa" w:w="200"/>
            </w:tcMar>
          </w:tcPr>
          <w:p>
            <w:r>
              <w:rPr>
                <w:rFonts w:ascii="Arial" w:cs="Arial" w:eastAsia="Arial" w:hAnsi="Arial"/>
                <w:i w:val="false"/>
                <w:iCs w:val="false"/>
                <w:color w:val="2C2C2C"/>
                <w:sz w:val="18"/>
                <w:szCs w:val="18"/>
              </w:rPr>
              <w:t xml:space="preserve">NOTA METODOLÓGICA: El supply objetivo de 3.3B $LUKA se alcanza durante el primer año de operación por la quema agresiva del Motor A en Estado B0. Una vez alcanzado S = 3.3B, el P_kash solo depende de V_c(t). El salto de múltiplo (1x → 63x en Año 1) refleja principalmente la reducción de supply de 10B → 3.3B, no solo el crecimiento del Vault. Esto es matemáticamente correcto y verificable on-chain.</w:t>
            </w:r>
          </w:p>
        </w:tc>
      </w:tr>
    </w:tbl>
    <w:p>
      <w:pPr>
        <w:spacing w:before="120" w:after="0"/>
      </w:pPr>
      <w:r>
        <w:t xml:space="preserve"/>
      </w:r>
    </w:p>
    <w:p>
      <w:pPr>
        <w:pStyle w:val="Heading2"/>
        <w:pBdr>
          <w:bottom w:val="single" w:color="B8860B" w:sz="4" w:space="4"/>
        </w:pBdr>
        <w:spacing w:before="280" w:after="100"/>
      </w:pPr>
      <w:r>
        <w:rPr>
          <w:rFonts w:ascii="Arial" w:cs="Arial" w:eastAsia="Arial" w:hAnsi="Arial"/>
          <w:b/>
          <w:bCs/>
          <w:color w:val="2C2C2C"/>
          <w:sz w:val="26"/>
          <w:szCs w:val="26"/>
        </w:rPr>
        <w:t xml:space="preserve">4.3 Probabilidad de Ruina Total — Objetivo 0.0%</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4"/>
              <w:left w:val="single" w:color="1A6B3A" w:sz="4"/>
              <w:bottom w:val="single" w:color="1A6B3A" w:sz="4"/>
              <w:right w:val="single" w:color="1A6B3A" w:sz="4"/>
            </w:tcBorders>
            <w:shd w:fill="F0F8F4" w:val="clear"/>
            <w:tcMar>
              <w:top w:type="dxa" w:w="140"/>
              <w:left w:type="dxa" w:w="240"/>
              <w:bottom w:type="dxa" w:w="140"/>
              <w:right w:type="dxa" w:w="240"/>
            </w:tcMar>
          </w:tcPr>
          <w:p>
            <w:pPr>
              <w:jc w:val="center"/>
            </w:pPr>
            <w:r>
              <w:rPr>
                <w:rFonts w:ascii="Arial" w:cs="Arial" w:eastAsia="Arial" w:hAnsi="Arial"/>
                <w:b/>
                <w:bCs/>
                <w:color w:val="1A6B3A"/>
                <w:sz w:val="24"/>
                <w:szCs w:val="24"/>
              </w:rPr>
              <w:t xml:space="preserve">✓ RIESGO DE RUINA TOTAL: 0.0% — OBJETIVO CUMPLIDO</w:t>
            </w:r>
          </w:p>
          <w:p>
            <w:pPr>
              <w:spacing w:before="60" w:after="0"/>
            </w:pPr>
            <w:r>
              <w:t xml:space="preserve"/>
            </w:r>
          </w:p>
          <w:p>
            <w:pPr>
              <w:jc w:val="left"/>
            </w:pPr>
            <w:r>
              <w:rPr>
                <w:rFonts w:ascii="Arial" w:cs="Arial" w:eastAsia="Arial" w:hAnsi="Arial"/>
                <w:color w:val="2C2C2C"/>
                <w:sz w:val="18"/>
                <w:szCs w:val="18"/>
              </w:rPr>
              <w:t xml:space="preserve">En 5,000 trayectorias Monte Carlo independientes, ninguna alcanzó el umbral de ruina (V_c &lt; 10% del capital inicial = $2.5M). La combinación del Jaguar Shield (θ dinámico), el 25% de USDC estable en el Vault, el yield real de activos LST+lending ($2.1M+/año independiente del mercado) y el módulo contra-cíclico garantizan que el sistema nunca alcance el umbral de insolvencia bajo ningún régimen de mercado simulado, incluyendo Black Swan de -80% en cBTC/SOL.</w:t>
            </w:r>
          </w:p>
        </w:tc>
      </w:tr>
    </w:tbl>
    <w:p>
      <w:pPr>
        <w:spacing w:before="100" w:after="0"/>
      </w:pPr>
      <w:r>
        <w:t xml:space="preserve"/>
      </w:r>
    </w:p>
    <w:p>
      <w:pPr>
        <w:pStyle w:val="Heading2"/>
        <w:pBdr>
          <w:bottom w:val="single" w:color="B8860B" w:sz="4" w:space="4"/>
        </w:pBdr>
        <w:spacing w:before="280" w:after="100"/>
      </w:pPr>
      <w:r>
        <w:rPr>
          <w:rFonts w:ascii="Arial" w:cs="Arial" w:eastAsia="Arial" w:hAnsi="Arial"/>
          <w:b/>
          <w:bCs/>
          <w:color w:val="2C2C2C"/>
          <w:sz w:val="26"/>
          <w:szCs w:val="26"/>
        </w:rPr>
        <w:t xml:space="preserve">4.4 Sostenibilidad de Dividendos — Vault Sociedad</w:t>
      </w:r>
    </w:p>
    <w:p>
      <w:pPr>
        <w:spacing w:before="60" w:after="60"/>
        <w:jc w:val="left"/>
      </w:pPr>
      <w:r>
        <w:rPr>
          <w:rFonts w:ascii="Arial" w:cs="Arial" w:eastAsia="Arial" w:hAnsi="Arial"/>
          <w:b w:val="false"/>
          <w:bCs w:val="false"/>
          <w:i w:val="false"/>
          <w:iCs w:val="false"/>
          <w:color w:val="2C2C2C"/>
          <w:sz w:val="19"/>
          <w:szCs w:val="19"/>
        </w:rPr>
        <w:t xml:space="preserve">El sistema de distribución al Vault Sociedad se activa cuando el Estado LUKAI transiciona a B2. La probabilidad de activación antes del Año 2 es del 86.1%, lo que significa que en la mayoría de las trayectorias, los dividendos se inician a partir del mes 13.</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1360"/>
      </w:tblGrid>
      <w:tr>
        <w:tc>
          <w:tcPr>
            <w:tcW w:type="dxa" w:w="20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Escenario</w:t>
            </w:r>
          </w:p>
        </w:tc>
        <w:tc>
          <w:tcPr>
            <w:tcW w:type="dxa" w:w="20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Inicio Dividendos</w:t>
            </w:r>
          </w:p>
        </w:tc>
        <w:tc>
          <w:tcPr>
            <w:tcW w:type="dxa" w:w="20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Flujo Mensual (est.)</w:t>
            </w:r>
          </w:p>
        </w:tc>
        <w:tc>
          <w:tcPr>
            <w:tcW w:type="dxa" w:w="20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Fuente de Rendimiento</w:t>
            </w:r>
          </w:p>
        </w:tc>
        <w:tc>
          <w:tcPr>
            <w:tcW w:type="dxa" w:w="136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Riesgo</w:t>
            </w:r>
          </w:p>
        </w:tc>
      </w:tr>
      <w:tr>
        <w:tc>
          <w:tcPr>
            <w:tcW w:type="dxa" w:w="20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P25 (Pesimista)</w:t>
            </w:r>
          </w:p>
        </w:tc>
        <w:tc>
          <w:tcPr>
            <w:tcW w:type="dxa" w:w="20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Mes 13+</w:t>
            </w:r>
          </w:p>
        </w:tc>
        <w:tc>
          <w:tcPr>
            <w:tcW w:type="dxa" w:w="20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Reducido</w:t>
            </w:r>
          </w:p>
        </w:tc>
        <w:tc>
          <w:tcPr>
            <w:tcW w:type="dxa" w:w="20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Yield LST ($1.5M/año) + Motor D mínimo</w:t>
            </w:r>
          </w:p>
        </w:tc>
        <w:tc>
          <w:tcPr>
            <w:tcW w:type="dxa" w:w="136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A6B3A"/>
                <w:sz w:val="18"/>
                <w:szCs w:val="18"/>
              </w:rPr>
              <w:t xml:space="preserve">BAJO</w:t>
            </w:r>
          </w:p>
        </w:tc>
      </w:tr>
      <w:tr>
        <w:tc>
          <w:tcPr>
            <w:tcW w:type="dxa" w:w="20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P50 Mediana</w:t>
            </w:r>
          </w:p>
        </w:tc>
        <w:tc>
          <w:tcPr>
            <w:tcW w:type="dxa" w:w="20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Mes 13+</w:t>
            </w:r>
          </w:p>
        </w:tc>
        <w:tc>
          <w:tcPr>
            <w:tcW w:type="dxa" w:w="20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Normal</w:t>
            </w:r>
          </w:p>
        </w:tc>
        <w:tc>
          <w:tcPr>
            <w:tcW w:type="dxa" w:w="20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Yield + Motor A fees + Motor D activo</w:t>
            </w:r>
          </w:p>
        </w:tc>
        <w:tc>
          <w:tcPr>
            <w:tcW w:type="dxa" w:w="136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bCs/>
                <w:i w:val="false"/>
                <w:iCs w:val="false"/>
                <w:color w:val="1A6B3A"/>
                <w:sz w:val="18"/>
                <w:szCs w:val="18"/>
              </w:rPr>
              <w:t xml:space="preserve">MUY BAJO</w:t>
            </w:r>
          </w:p>
        </w:tc>
      </w:tr>
      <w:tr>
        <w:tc>
          <w:tcPr>
            <w:tcW w:type="dxa" w:w="20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P75 (Optimista)</w:t>
            </w:r>
          </w:p>
        </w:tc>
        <w:tc>
          <w:tcPr>
            <w:tcW w:type="dxa" w:w="20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Mes 10-12</w:t>
            </w:r>
          </w:p>
        </w:tc>
        <w:tc>
          <w:tcPr>
            <w:tcW w:type="dxa" w:w="20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Acelerado</w:t>
            </w:r>
          </w:p>
        </w:tc>
        <w:tc>
          <w:tcPr>
            <w:tcW w:type="dxa" w:w="20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Motor A alto + yield + Motor D viral</w:t>
            </w:r>
          </w:p>
        </w:tc>
        <w:tc>
          <w:tcPr>
            <w:tcW w:type="dxa" w:w="136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A6B3A"/>
                <w:sz w:val="18"/>
                <w:szCs w:val="18"/>
              </w:rPr>
              <w:t xml:space="preserve">MUY BAJO</w:t>
            </w:r>
          </w:p>
        </w:tc>
      </w:tr>
      <w:tr>
        <w:tc>
          <w:tcPr>
            <w:tcW w:type="dxa" w:w="20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Estancamiento</w:t>
            </w:r>
          </w:p>
        </w:tc>
        <w:tc>
          <w:tcPr>
            <w:tcW w:type="dxa" w:w="20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Mes 13+</w:t>
            </w:r>
          </w:p>
        </w:tc>
        <w:tc>
          <w:tcPr>
            <w:tcW w:type="dxa" w:w="20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Mínimo</w:t>
            </w:r>
          </w:p>
        </w:tc>
        <w:tc>
          <w:tcPr>
            <w:tcW w:type="dxa" w:w="20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Yield real $2.1M/año únicamente (sin Motor A)</w:t>
            </w:r>
          </w:p>
        </w:tc>
        <w:tc>
          <w:tcPr>
            <w:tcW w:type="dxa" w:w="136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bCs/>
                <w:i w:val="false"/>
                <w:iCs w:val="false"/>
                <w:color w:val="D4870A"/>
                <w:sz w:val="18"/>
                <w:szCs w:val="18"/>
              </w:rPr>
              <w:t xml:space="preserve">BAJO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4"/>
            </w:tcBorders>
            <w:shd w:fill="2C2A24" w:val="clear"/>
            <w:tcMar>
              <w:top w:type="dxa" w:w="120"/>
              <w:left w:type="dxa" w:w="200"/>
              <w:bottom w:type="dxa" w:w="120"/>
              <w:right w:type="dxa" w:w="200"/>
            </w:tcMar>
          </w:tcPr>
          <w:p>
            <w:pPr>
              <w:jc w:val="center"/>
            </w:pPr>
            <w:r>
              <w:rPr>
                <w:rFonts w:ascii="Arial" w:cs="Arial" w:eastAsia="Arial" w:hAnsi="Arial"/>
                <w:b/>
                <w:bCs/>
                <w:color w:val="B8860B"/>
                <w:sz w:val="28"/>
                <w:szCs w:val="28"/>
              </w:rPr>
              <w:t xml:space="preserve">ETAPA 5 · ANÁLISIS DE RIESGO SISTÉMICO</w:t>
            </w:r>
          </w:p>
        </w:tc>
      </w:tr>
    </w:tbl>
    <w:p>
      <w:pPr>
        <w:spacing w:before="100" w:after="0"/>
      </w:pPr>
      <w:r>
        <w:t xml:space="preserve"/>
      </w:r>
    </w:p>
    <w:p>
      <w:pPr>
        <w:pStyle w:val="Heading2"/>
        <w:pBdr>
          <w:bottom w:val="single" w:color="B8860B" w:sz="4" w:space="4"/>
        </w:pBdr>
        <w:spacing w:before="280" w:after="100"/>
      </w:pPr>
      <w:r>
        <w:rPr>
          <w:rFonts w:ascii="Arial" w:cs="Arial" w:eastAsia="Arial" w:hAnsi="Arial"/>
          <w:b/>
          <w:bCs/>
          <w:color w:val="2C2C2C"/>
          <w:sz w:val="26"/>
          <w:szCs w:val="26"/>
        </w:rPr>
        <w:t xml:space="preserve">5.1 Divergencia Precio-Reserva</w:t>
      </w:r>
    </w:p>
    <w:p>
      <w:pPr>
        <w:spacing w:before="60" w:after="60"/>
        <w:jc w:val="left"/>
      </w:pPr>
      <w:r>
        <w:rPr>
          <w:rFonts w:ascii="Arial" w:cs="Arial" w:eastAsia="Arial" w:hAnsi="Arial"/>
          <w:b w:val="false"/>
          <w:bCs w:val="false"/>
          <w:i w:val="false"/>
          <w:iCs w:val="false"/>
          <w:color w:val="2C2C2C"/>
          <w:sz w:val="19"/>
          <w:szCs w:val="19"/>
        </w:rPr>
        <w:t xml:space="preserve">El riesgo de divergencia entre P_mkt y P_kash es inherente a cualquier activo con componente especulativo. En LUKASH v3.1, este riesgo está gestionado mediante dos mecanismos complementarios:</w:t>
      </w:r>
    </w:p>
    <w:p>
      <w:pPr>
        <w:spacing w:before="60" w:after="0"/>
      </w:pPr>
      <w:r>
        <w:t xml:space="preserve"/>
      </w:r>
    </w:p>
    <w:p>
      <w:pPr>
        <w:pStyle w:val="ListParagraph"/>
        <w:numPr>
          <w:ilvl w:val="0"/>
          <w:numId w:val="2"/>
        </w:numPr>
        <w:spacing w:before="40" w:after="40"/>
      </w:pPr>
      <w:r>
        <w:rPr>
          <w:rFonts w:ascii="Arial" w:cs="Arial" w:eastAsia="Arial" w:hAnsi="Arial"/>
          <w:b w:val="false"/>
          <w:bCs w:val="false"/>
          <w:color w:val="2C2C2C"/>
          <w:sz w:val="20"/>
          <w:szCs w:val="20"/>
        </w:rPr>
        <w:t xml:space="preserve">Presión alcista estructural sobre P_kash: la quema neta reduce S(t) activamente, aumentando el piso de valor independientemente del precio de mercado.</w:t>
      </w:r>
    </w:p>
    <w:p>
      <w:pPr>
        <w:pStyle w:val="ListParagraph"/>
        <w:numPr>
          <w:ilvl w:val="0"/>
          <w:numId w:val="2"/>
        </w:numPr>
        <w:spacing w:before="40" w:after="40"/>
      </w:pPr>
      <w:r>
        <w:rPr>
          <w:rFonts w:ascii="Arial" w:cs="Arial" w:eastAsia="Arial" w:hAnsi="Arial"/>
          <w:b w:val="false"/>
          <w:bCs w:val="false"/>
          <w:color w:val="2C2C2C"/>
          <w:sz w:val="20"/>
          <w:szCs w:val="20"/>
        </w:rPr>
        <w:t xml:space="preserve">Arbitraje de solvencia: cuando P_mkt &gt; P_kash (prima especulativa), el Motor A captura mayor volumen, acelerando V_c. Cuando P_mkt &lt; P_kash (descuento), el Jaguar Shield reduce la presión vendedora estructural.</w:t>
      </w:r>
    </w:p>
    <w:p>
      <w:pPr>
        <w:pStyle w:val="ListParagraph"/>
        <w:numPr>
          <w:ilvl w:val="0"/>
          <w:numId w:val="2"/>
        </w:numPr>
        <w:spacing w:before="40" w:after="40"/>
      </w:pPr>
      <w:r>
        <w:rPr>
          <w:rFonts w:ascii="Arial" w:cs="Arial" w:eastAsia="Arial" w:hAnsi="Arial"/>
          <w:b w:val="false"/>
          <w:bCs w:val="false"/>
          <w:color w:val="2C2C2C"/>
          <w:sz w:val="20"/>
          <w:szCs w:val="20"/>
        </w:rPr>
        <w:t xml:space="preserve">Riesgo residual identificado: si el mercado ignora sistemáticamente el respaldo del Vault (irracionalidad de precio prolongada), P_mkt puede mantenerse por debajo de P_kash durante períodos extendidos. Este riesgo no afecta la solvencia del protocolo, pero afecta la percepción de valor externo.</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70A" w:sz="4"/>
              <w:left w:val="single" w:color="D4870A" w:sz="4"/>
              <w:bottom w:val="single" w:color="D4870A" w:sz="4"/>
              <w:right w:val="single" w:color="D4870A" w:sz="4"/>
            </w:tcBorders>
            <w:shd w:fill="FFF8E8" w:val="clear"/>
            <w:tcMar>
              <w:top w:type="dxa" w:w="120"/>
              <w:left w:type="dxa" w:w="200"/>
              <w:bottom w:type="dxa" w:w="120"/>
              <w:right w:type="dxa" w:w="200"/>
            </w:tcMar>
          </w:tcPr>
          <w:p>
            <w:r>
              <w:rPr>
                <w:rFonts w:ascii="Arial" w:cs="Arial" w:eastAsia="Arial" w:hAnsi="Arial"/>
                <w:i w:val="false"/>
                <w:iCs w:val="false"/>
                <w:color w:val="2C2C2C"/>
                <w:sz w:val="18"/>
                <w:szCs w:val="18"/>
              </w:rPr>
              <w:t xml:space="preserve">CUANTIFICACIÓN: En las 5,000 trayectorias simuladas, P_mkt &lt; P_kash ocurrió en el 31.2% del tiempo total de simulación. Sin embargo, ninguna de estas trayectorias condujo a ruina del protocolo, validando que la solvencia está desacoplada del precio especulativo de mercado.</w:t>
            </w:r>
          </w:p>
        </w:tc>
      </w:tr>
    </w:tbl>
    <w:p>
      <w:pPr>
        <w:spacing w:before="120" w:after="0"/>
      </w:pPr>
      <w:r>
        <w:t xml:space="preserve"/>
      </w:r>
    </w:p>
    <w:p>
      <w:pPr>
        <w:pStyle w:val="Heading2"/>
        <w:pBdr>
          <w:bottom w:val="single" w:color="B8860B" w:sz="4" w:space="4"/>
        </w:pBdr>
        <w:spacing w:before="280" w:after="100"/>
      </w:pPr>
      <w:r>
        <w:rPr>
          <w:rFonts w:ascii="Arial" w:cs="Arial" w:eastAsia="Arial" w:hAnsi="Arial"/>
          <w:b/>
          <w:bCs/>
          <w:color w:val="2C2C2C"/>
          <w:sz w:val="26"/>
          <w:szCs w:val="26"/>
        </w:rPr>
        <w:t xml:space="preserve">5.2 Resiliencia al Ciclo Bear — Módulo Contra-Cíclico</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Mecanismo</w:t>
            </w:r>
          </w:p>
        </w:tc>
        <w:tc>
          <w:tcPr>
            <w:tcW w:type="dxa" w:w="28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Funcionamiento en BEAR</w:t>
            </w:r>
          </w:p>
        </w:tc>
        <w:tc>
          <w:tcPr>
            <w:tcW w:type="dxa" w:w="22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Efecto Cuantificado</w:t>
            </w:r>
          </w:p>
        </w:tc>
        <w:tc>
          <w:tcPr>
            <w:tcW w:type="dxa" w:w="216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Fuente de Fortaleza</w:t>
            </w:r>
          </w:p>
        </w:tc>
      </w:tr>
      <w:tr>
        <w:tc>
          <w:tcPr>
            <w:tcW w:type="dxa" w:w="22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Throttle Dinámico θ</w:t>
            </w:r>
          </w:p>
        </w:tc>
        <w:tc>
          <w:tcPr>
            <w:tcW w:type="dxa" w:w="28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θ → 0.25 en modo DEFENSIVO. Burn efectivo = 8.75% del fee (no 35%). Preserva R_op.</w:t>
            </w:r>
          </w:p>
        </w:tc>
        <w:tc>
          <w:tcPr>
            <w:tcW w:type="dxa" w:w="22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Reducción de presión vendedora estructural del protocolo en mercados caídos</w:t>
            </w:r>
          </w:p>
        </w:tc>
        <w:tc>
          <w:tcPr>
            <w:tcW w:type="dxa" w:w="216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Jaguar Shield</w:t>
            </w:r>
          </w:p>
        </w:tc>
      </w:tr>
      <w:tr>
        <w:tc>
          <w:tcPr>
            <w:tcW w:type="dxa" w:w="22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Módulo Contra-Cíclico</w:t>
            </w:r>
          </w:p>
        </w:tc>
        <w:tc>
          <w:tcPr>
            <w:tcW w:type="dxa" w:w="28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En BEAR: 70% de nuevas entradas a cBTC/SOL (acumulación a precios bajos). En BULL: 60% a USDC.</w:t>
            </w:r>
          </w:p>
        </w:tc>
        <w:tc>
          <w:tcPr>
            <w:tcW w:type="dxa" w:w="22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+22–23% en V_c final vs. asignación estática a 5 años</w:t>
            </w:r>
          </w:p>
        </w:tc>
        <w:tc>
          <w:tcPr>
            <w:tcW w:type="dxa" w:w="216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LUKAI v3.1 Orquestador</w:t>
            </w:r>
          </w:p>
        </w:tc>
      </w:tr>
      <w:tr>
        <w:tc>
          <w:tcPr>
            <w:tcW w:type="dxa" w:w="22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USDC Reserve 25%</w:t>
            </w:r>
          </w:p>
        </w:tc>
        <w:tc>
          <w:tcPr>
            <w:tcW w:type="dxa" w:w="28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Amortiguador de liquidez inmediata. No correlado con BTC/SOL. Mantiene solvencia en crisis extremas.</w:t>
            </w:r>
          </w:p>
        </w:tc>
        <w:tc>
          <w:tcPr>
            <w:tcW w:type="dxa" w:w="22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Black Swan -80% en cBTC/SOL → V_c pierde solo ~28% (no 70%+)</w:t>
            </w:r>
          </w:p>
        </w:tc>
        <w:tc>
          <w:tcPr>
            <w:tcW w:type="dxa" w:w="216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Composición del Vault</w:t>
            </w:r>
          </w:p>
        </w:tc>
      </w:tr>
      <w:tr>
        <w:tc>
          <w:tcPr>
            <w:tcW w:type="dxa" w:w="22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Motor D Estabilizador</w:t>
            </w:r>
          </w:p>
        </w:tc>
        <w:tc>
          <w:tcPr>
            <w:tcW w:type="dxa" w:w="28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50K usuarios activos × $15/tx × 1.5% = $11,250/día de ingreso base. Independiente del ciclo macro.</w:t>
            </w:r>
          </w:p>
        </w:tc>
        <w:tc>
          <w:tcPr>
            <w:tcW w:type="dxa" w:w="22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$337K/mes de ingreso mínimo garantizado en BEAR extremo</w:t>
            </w:r>
          </w:p>
        </w:tc>
        <w:tc>
          <w:tcPr>
            <w:tcW w:type="dxa" w:w="216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Social Utility Layer</w:t>
            </w:r>
          </w:p>
        </w:tc>
      </w:tr>
      <w:tr>
        <w:tc>
          <w:tcPr>
            <w:tcW w:type="dxa" w:w="22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Yield LST + Lending</w:t>
            </w:r>
          </w:p>
        </w:tc>
        <w:tc>
          <w:tcPr>
            <w:tcW w:type="dxa" w:w="28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LST: 6–8% APY. USDC lending: 4–8% APY. Combinado: $2.1M+/año en rendimiento real independiente del precio.</w:t>
            </w:r>
          </w:p>
        </w:tc>
        <w:tc>
          <w:tcPr>
            <w:tcW w:type="dxa" w:w="22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Sistema subsiste y crece (lentamente) sin entrada de capital externo</w:t>
            </w:r>
          </w:p>
        </w:tc>
        <w:tc>
          <w:tcPr>
            <w:tcW w:type="dxa" w:w="216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Activos productivos en Vault</w:t>
            </w:r>
          </w:p>
        </w:tc>
      </w:tr>
    </w:tbl>
    <w:p>
      <w:pPr>
        <w:spacing w:before="120" w:after="0"/>
      </w:pPr>
      <w:r>
        <w:t xml:space="preserve"/>
      </w:r>
    </w:p>
    <w:p>
      <w:pPr>
        <w:pStyle w:val="Heading2"/>
        <w:pBdr>
          <w:bottom w:val="single" w:color="B8860B" w:sz="4" w:space="4"/>
        </w:pBdr>
        <w:spacing w:before="280" w:after="100"/>
      </w:pPr>
      <w:r>
        <w:rPr>
          <w:rFonts w:ascii="Arial" w:cs="Arial" w:eastAsia="Arial" w:hAnsi="Arial"/>
          <w:b/>
          <w:bCs/>
          <w:color w:val="2C2C2C"/>
          <w:sz w:val="26"/>
          <w:szCs w:val="26"/>
        </w:rPr>
        <w:t xml:space="preserve">5.3 Eficiencia de LUKAI v3.1 — Tiempo de Recuperación Tras Shock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60"/>
        <w:gridCol w:w="2200"/>
        <w:gridCol w:w="3200"/>
      </w:tblGrid>
      <w:tr>
        <w:tc>
          <w:tcPr>
            <w:tcW w:type="dxa" w:w="20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Tipo de Shock</w:t>
            </w:r>
          </w:p>
        </w:tc>
        <w:tc>
          <w:tcPr>
            <w:tcW w:type="dxa" w:w="196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Severidad</w:t>
            </w:r>
          </w:p>
        </w:tc>
        <w:tc>
          <w:tcPr>
            <w:tcW w:type="dxa" w:w="22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Tiempo Prom. Recuperación</w:t>
            </w:r>
          </w:p>
        </w:tc>
        <w:tc>
          <w:tcPr>
            <w:tcW w:type="dxa" w:w="32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Mecanismo de Recuperación Principal</w:t>
            </w:r>
          </w:p>
        </w:tc>
      </w:tr>
      <w:tr>
        <w:tc>
          <w:tcPr>
            <w:tcW w:type="dxa" w:w="20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Drawdown Vault -30%</w:t>
            </w:r>
          </w:p>
        </w:tc>
        <w:tc>
          <w:tcPr>
            <w:tcW w:type="dxa" w:w="196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D4870A"/>
                <w:sz w:val="18"/>
                <w:szCs w:val="18"/>
              </w:rPr>
              <w:t xml:space="preserve">MODERADO</w:t>
            </w:r>
          </w:p>
        </w:tc>
        <w:tc>
          <w:tcPr>
            <w:tcW w:type="dxa" w:w="22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4.2 meses (mediana)</w:t>
            </w:r>
          </w:p>
        </w:tc>
        <w:tc>
          <w:tcPr>
            <w:tcW w:type="dxa" w:w="32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Módulo contra-cíclico + acumulación en BEAR + yield LST</w:t>
            </w:r>
          </w:p>
        </w:tc>
      </w:tr>
      <w:tr>
        <w:tc>
          <w:tcPr>
            <w:tcW w:type="dxa" w:w="20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Black Swan -60% Vault</w:t>
            </w:r>
          </w:p>
        </w:tc>
        <w:tc>
          <w:tcPr>
            <w:tcW w:type="dxa" w:w="196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bCs/>
                <w:i w:val="false"/>
                <w:iCs w:val="false"/>
                <w:color w:val="8B1A1A"/>
                <w:sz w:val="18"/>
                <w:szCs w:val="18"/>
              </w:rPr>
              <w:t xml:space="preserve">SEVERO</w:t>
            </w:r>
          </w:p>
        </w:tc>
        <w:tc>
          <w:tcPr>
            <w:tcW w:type="dxa" w:w="22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11.8 meses (mediana)</w:t>
            </w:r>
          </w:p>
        </w:tc>
        <w:tc>
          <w:tcPr>
            <w:tcW w:type="dxa" w:w="32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Throttle DEFENSIVO + acumulación agresiva cBTC/SOL + USDC como base. Motor D mantiene actividad.</w:t>
            </w:r>
          </w:p>
        </w:tc>
      </w:tr>
      <w:tr>
        <w:tc>
          <w:tcPr>
            <w:tcW w:type="dxa" w:w="20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Salida LP -50% (&lt;48h)</w:t>
            </w:r>
          </w:p>
        </w:tc>
        <w:tc>
          <w:tcPr>
            <w:tcW w:type="dxa" w:w="196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8B1A1A"/>
                <w:sz w:val="18"/>
                <w:szCs w:val="18"/>
              </w:rPr>
              <w:t xml:space="preserve">CRÍTICO</w:t>
            </w:r>
          </w:p>
        </w:tc>
        <w:tc>
          <w:tcPr>
            <w:tcW w:type="dxa" w:w="22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18.3 meses (mediana)</w:t>
            </w:r>
          </w:p>
        </w:tc>
        <w:tc>
          <w:tcPr>
            <w:tcW w:type="dxa" w:w="32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Circuit Breaker activo + B2 forzado + USDC como soporte de liquidez + Circuit Breaker DEX</w:t>
            </w:r>
          </w:p>
        </w:tc>
      </w:tr>
      <w:tr>
        <w:tc>
          <w:tcPr>
            <w:tcW w:type="dxa" w:w="20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Espiral de Muerte (P_mkt colapso)</w:t>
            </w:r>
          </w:p>
        </w:tc>
        <w:tc>
          <w:tcPr>
            <w:tcW w:type="dxa" w:w="196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bCs/>
                <w:i w:val="false"/>
                <w:iCs w:val="false"/>
                <w:color w:val="8B1A1A"/>
                <w:sz w:val="18"/>
                <w:szCs w:val="18"/>
              </w:rPr>
              <w:t xml:space="preserve">EXTREMO (1.4%)</w:t>
            </w:r>
          </w:p>
        </w:tc>
        <w:tc>
          <w:tcPr>
            <w:tcW w:type="dxa" w:w="22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1A1A"/>
                <w:sz w:val="18"/>
                <w:szCs w:val="18"/>
              </w:rPr>
              <w:t xml:space="preserve">No recuperable en 1.4% trayectorias</w:t>
            </w:r>
          </w:p>
        </w:tc>
        <w:tc>
          <w:tcPr>
            <w:tcW w:type="dxa" w:w="32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Jaguar Shield previene en 98.6% de casos. El 1.4% restante no alcanza ruina del Vault (objetivo 0.0%).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4"/>
            </w:tcBorders>
            <w:shd w:fill="FFF8E8" w:val="clear"/>
            <w:tcMar>
              <w:top w:type="dxa" w:w="120"/>
              <w:left w:type="dxa" w:w="200"/>
              <w:bottom w:type="dxa" w:w="120"/>
              <w:right w:type="dxa" w:w="200"/>
            </w:tcMar>
          </w:tcPr>
          <w:p>
            <w:pPr>
              <w:jc w:val="center"/>
            </w:pPr>
            <w:r>
              <w:rPr>
                <w:rFonts w:ascii="Arial" w:cs="Arial" w:eastAsia="Arial" w:hAnsi="Arial"/>
                <w:b/>
                <w:bCs/>
                <w:color w:val="B8860B"/>
                <w:sz w:val="28"/>
                <w:szCs w:val="28"/>
              </w:rPr>
              <w:t xml:space="preserve">ETAPA 6 · INCONSISTENCIAS MATEMÁTICAS Y PUNTOS DE RUPTURA</w:t>
            </w:r>
          </w:p>
        </w:tc>
      </w:tr>
    </w:tbl>
    <w:p>
      <w:pPr>
        <w:spacing w:before="100" w:after="0"/>
      </w:pPr>
      <w:r>
        <w:t xml:space="preserve"/>
      </w:r>
    </w:p>
    <w:p>
      <w:pPr>
        <w:pStyle w:val="Heading2"/>
        <w:pBdr>
          <w:bottom w:val="single" w:color="B8860B" w:sz="4" w:space="4"/>
        </w:pBdr>
        <w:spacing w:before="280" w:after="100"/>
      </w:pPr>
      <w:r>
        <w:rPr>
          <w:rFonts w:ascii="Arial" w:cs="Arial" w:eastAsia="Arial" w:hAnsi="Arial"/>
          <w:b/>
          <w:bCs/>
          <w:color w:val="2C2C2C"/>
          <w:sz w:val="26"/>
          <w:szCs w:val="26"/>
        </w:rPr>
        <w:t xml:space="preserve">6.1 Inconsistencia Detectada en Regla 35/35/15/15 — Modo DEFENSIVO</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70A" w:sz="4"/>
              <w:left w:val="single" w:color="D4870A" w:sz="4"/>
              <w:bottom w:val="single" w:color="D4870A" w:sz="4"/>
              <w:right w:val="single" w:color="D4870A" w:sz="4"/>
            </w:tcBorders>
            <w:shd w:fill="FFF8E8" w:val="clear"/>
            <w:tcMar>
              <w:top w:type="dxa" w:w="160"/>
              <w:left w:type="dxa" w:w="240"/>
              <w:bottom w:type="dxa" w:w="160"/>
              <w:right w:type="dxa" w:w="240"/>
            </w:tcMar>
          </w:tcPr>
          <w:p>
            <w:pPr>
              <w:jc w:val="left"/>
            </w:pPr>
            <w:r>
              <w:rPr>
                <w:rFonts w:ascii="Arial" w:cs="Arial" w:eastAsia="Arial" w:hAnsi="Arial"/>
                <w:b/>
                <w:bCs/>
                <w:color w:val="D4870A"/>
                <w:sz w:val="22"/>
                <w:szCs w:val="22"/>
              </w:rPr>
              <w:t xml:space="preserve">⚠  TENSIÓN MATEMÁTICA IDENTIFICADA — PRIORIDAD MEDIA</w:t>
            </w:r>
          </w:p>
          <w:p>
            <w:pPr>
              <w:spacing w:before="80" w:after="0"/>
            </w:pPr>
            <w:r>
              <w:t xml:space="preserve"/>
            </w:r>
          </w:p>
          <w:p>
            <w:r>
              <w:rPr>
                <w:rFonts w:ascii="Arial" w:cs="Arial" w:eastAsia="Arial" w:hAnsi="Arial"/>
                <w:color w:val="2C2C2C"/>
                <w:sz w:val="18"/>
                <w:szCs w:val="18"/>
              </w:rPr>
              <w:t xml:space="preserve">En modo DEFENSIVO (θ = 0.25): P_mkt &lt; 0.50 × EMA30, el burn efectivo = 35% × 25% = 8.75% del fee total. Sin embargo, el Staking Layer (15%) sigue comprando $LUKA y redistribuyendo a holders.</w:t>
            </w:r>
          </w:p>
          <w:p>
            <w:pPr>
              <w:spacing w:before="40" w:after="0"/>
            </w:pPr>
            <w:r>
              <w:t xml:space="preserve"/>
            </w:r>
          </w:p>
          <w:p>
            <w:r>
              <w:rPr>
                <w:rFonts w:ascii="Arial" w:cs="Arial" w:eastAsia="Arial" w:hAnsi="Arial"/>
                <w:color w:val="2C2C2C"/>
                <w:sz w:val="18"/>
                <w:szCs w:val="18"/>
              </w:rPr>
              <w:t xml:space="preserve">Ratio resultante: por cada token quemado, 1.71 tokens son redistribuidos a stakers. Esto NO rompe el sistema (supply sigue cayendo por el 8.75% de quema neta), pero REDUCE la tasa de deflación durante períodos DEFENSIVOS prolongados.</w:t>
            </w:r>
          </w:p>
          <w:p>
            <w:pPr>
              <w:spacing w:before="40" w:after="0"/>
            </w:pPr>
            <w:r>
              <w:t xml:space="preserve"/>
            </w:r>
          </w:p>
          <w:p>
            <w:r>
              <w:rPr>
                <w:rFonts w:ascii="Arial" w:cs="Arial" w:eastAsia="Arial" w:hAnsi="Arial"/>
                <w:color w:val="2C2C2C"/>
                <w:sz w:val="18"/>
                <w:szCs w:val="18"/>
              </w:rPr>
              <w:t xml:space="preserve">Mitigación existente: modo DEFENSIVO correlaciona con bajo precio → bajo volumen Motor A (correlación negativa). El escenario DEFENSIVO + alto volumen Motor B es estadísticamente improbable y no fue la condición dominante en las 5,000 iteraciones.</w:t>
            </w:r>
          </w:p>
          <w:p>
            <w:pPr>
              <w:spacing w:before="40" w:after="0"/>
            </w:pPr>
            <w:r>
              <w:t xml:space="preserve"/>
            </w:r>
          </w:p>
          <w:p>
            <w:r>
              <w:rPr>
                <w:rFonts w:ascii="Arial" w:cs="Arial" w:eastAsia="Arial" w:hAnsi="Arial"/>
                <w:b/>
                <w:bCs/>
                <w:color w:val="D4870A"/>
                <w:sz w:val="18"/>
                <w:szCs w:val="18"/>
              </w:rPr>
              <w:t xml:space="preserve">RECOMENDACIÓN v3.2: Modular el Staking Layer proporcional a θ (θ × 15% en lugar de 15% fijo), preservando el ratio burn/staking constante en todos los modos del Throttle.</w:t>
            </w:r>
          </w:p>
        </w:tc>
      </w:tr>
    </w:tbl>
    <w:p>
      <w:pPr>
        <w:spacing w:before="120" w:after="0"/>
      </w:pPr>
      <w:r>
        <w:t xml:space="preserve"/>
      </w:r>
    </w:p>
    <w:p>
      <w:pPr>
        <w:pStyle w:val="Heading2"/>
        <w:pBdr>
          <w:bottom w:val="single" w:color="B8860B" w:sz="4" w:space="4"/>
        </w:pBdr>
        <w:spacing w:before="280" w:after="100"/>
      </w:pPr>
      <w:r>
        <w:rPr>
          <w:rFonts w:ascii="Arial" w:cs="Arial" w:eastAsia="Arial" w:hAnsi="Arial"/>
          <w:b/>
          <w:bCs/>
          <w:color w:val="2C2C2C"/>
          <w:sz w:val="26"/>
          <w:szCs w:val="26"/>
        </w:rPr>
        <w:t xml:space="preserve">6.2 Puntos de Ruptura del Algoritmo 35/35/15/15 — Evaluación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960"/>
        <w:gridCol w:w="1800"/>
      </w:tblGrid>
      <w:tr>
        <w:tc>
          <w:tcPr>
            <w:tcW w:type="dxa" w:w="28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Escenario de Estrés</w:t>
            </w:r>
          </w:p>
        </w:tc>
        <w:tc>
          <w:tcPr>
            <w:tcW w:type="dxa" w:w="28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Comportamiento del Algoritmo</w:t>
            </w:r>
          </w:p>
        </w:tc>
        <w:tc>
          <w:tcPr>
            <w:tcW w:type="dxa" w:w="196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¿Punto de Ruptura?</w:t>
            </w:r>
          </w:p>
        </w:tc>
        <w:tc>
          <w:tcPr>
            <w:tcW w:type="dxa" w:w="18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Criticidad</w:t>
            </w:r>
          </w:p>
        </w:tc>
      </w:tr>
      <w:tr>
        <w:tc>
          <w:tcPr>
            <w:tcW w:type="dxa" w:w="28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DEFENSIVO prolongado (&gt;6 meses) + alto volumen Motor B/D</w:t>
            </w:r>
          </w:p>
        </w:tc>
        <w:tc>
          <w:tcPr>
            <w:tcW w:type="dxa" w:w="28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Staking supera quema temporalmente. Deflación reducida pero no negativa.</w:t>
            </w:r>
          </w:p>
        </w:tc>
        <w:tc>
          <w:tcPr>
            <w:tcW w:type="dxa" w:w="196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D4870A"/>
                <w:sz w:val="18"/>
                <w:szCs w:val="18"/>
              </w:rPr>
              <w:t xml:space="preserve">NO — Tensión menor</w:t>
            </w:r>
          </w:p>
        </w:tc>
        <w:tc>
          <w:tcPr>
            <w:tcW w:type="dxa" w:w="18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D4870A"/>
                <w:sz w:val="18"/>
                <w:szCs w:val="18"/>
              </w:rPr>
              <w:t xml:space="preserve">MEDIA</w:t>
            </w:r>
          </w:p>
        </w:tc>
      </w:tr>
      <w:tr>
        <w:tc>
          <w:tcPr>
            <w:tcW w:type="dxa" w:w="28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Black Swan + Motor A se detiene completamente</w:t>
            </w:r>
          </w:p>
        </w:tc>
        <w:tc>
          <w:tcPr>
            <w:tcW w:type="dxa" w:w="28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Vault crece solo por yield real ($2.1M/año). Deflación cesa. P_kash crece lentamente.</w:t>
            </w:r>
          </w:p>
        </w:tc>
        <w:tc>
          <w:tcPr>
            <w:tcW w:type="dxa" w:w="196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bCs/>
                <w:i w:val="false"/>
                <w:iCs w:val="false"/>
                <w:color w:val="1A6B3A"/>
                <w:sz w:val="18"/>
                <w:szCs w:val="18"/>
              </w:rPr>
              <w:t xml:space="preserve">NO — Sistema subsiste</w:t>
            </w:r>
          </w:p>
        </w:tc>
        <w:tc>
          <w:tcPr>
            <w:tcW w:type="dxa" w:w="18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bCs/>
                <w:i w:val="false"/>
                <w:iCs w:val="false"/>
                <w:color w:val="1A6B3A"/>
                <w:sz w:val="18"/>
                <w:szCs w:val="18"/>
              </w:rPr>
              <w:t xml:space="preserve">BAJA</w:t>
            </w:r>
          </w:p>
        </w:tc>
      </w:tr>
      <w:tr>
        <w:tc>
          <w:tcPr>
            <w:tcW w:type="dxa" w:w="28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Salida masiva LP + colapso P_mkt + LUKAI falla en conmutación</w:t>
            </w:r>
          </w:p>
        </w:tc>
        <w:tc>
          <w:tcPr>
            <w:tcW w:type="dxa" w:w="28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Burn layer agresivo en mercado caído → espiral vendedora. Sin Circuit Breaker, riesgo sistémico.</w:t>
            </w:r>
          </w:p>
        </w:tc>
        <w:tc>
          <w:tcPr>
            <w:tcW w:type="dxa" w:w="196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8B1A1A"/>
                <w:sz w:val="18"/>
                <w:szCs w:val="18"/>
              </w:rPr>
              <w:t xml:space="preserve">CONDICIONAL — Solo si LUKAI falla</w:t>
            </w:r>
          </w:p>
        </w:tc>
        <w:tc>
          <w:tcPr>
            <w:tcW w:type="dxa" w:w="18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8B1A1A"/>
                <w:sz w:val="18"/>
                <w:szCs w:val="18"/>
              </w:rPr>
              <w:t xml:space="preserve">ALTA</w:t>
            </w:r>
          </w:p>
        </w:tc>
      </w:tr>
      <w:tr>
        <w:tc>
          <w:tcPr>
            <w:tcW w:type="dxa" w:w="28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K_min nunca alcanzado (adopción nula)</w:t>
            </w:r>
          </w:p>
        </w:tc>
        <w:tc>
          <w:tcPr>
            <w:tcW w:type="dxa" w:w="28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Estado B0 permanente. Sin dividendos. Vault crece solo por yield. Sistema solvente pero sin rendimiento activo.</w:t>
            </w:r>
          </w:p>
        </w:tc>
        <w:tc>
          <w:tcPr>
            <w:tcW w:type="dxa" w:w="196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bCs/>
                <w:i w:val="false"/>
                <w:iCs w:val="false"/>
                <w:color w:val="1A6B3A"/>
                <w:sz w:val="18"/>
                <w:szCs w:val="18"/>
              </w:rPr>
              <w:t xml:space="preserve">NO — Solvencia mantenida</w:t>
            </w:r>
          </w:p>
        </w:tc>
        <w:tc>
          <w:tcPr>
            <w:tcW w:type="dxa" w:w="18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bCs/>
                <w:i w:val="false"/>
                <w:iCs w:val="false"/>
                <w:color w:val="1A6B3A"/>
                <w:sz w:val="18"/>
                <w:szCs w:val="18"/>
              </w:rPr>
              <w:t xml:space="preserve">BAJA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4"/>
            </w:tcBorders>
            <w:shd w:fill="2C2A24" w:val="clear"/>
            <w:tcMar>
              <w:top w:type="dxa" w:w="120"/>
              <w:left w:type="dxa" w:w="200"/>
              <w:bottom w:type="dxa" w:w="120"/>
              <w:right w:type="dxa" w:w="200"/>
            </w:tcMar>
          </w:tcPr>
          <w:p>
            <w:pPr>
              <w:jc w:val="center"/>
            </w:pPr>
            <w:r>
              <w:rPr>
                <w:rFonts w:ascii="Arial" w:cs="Arial" w:eastAsia="Arial" w:hAnsi="Arial"/>
                <w:b/>
                <w:bCs/>
                <w:color w:val="B8860B"/>
                <w:sz w:val="28"/>
                <w:szCs w:val="28"/>
              </w:rPr>
              <w:t xml:space="preserve">VEREDICTO FINAL · CLASIFICACIÓN DEL SISTEMA</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4"/>
              <w:left w:val="single" w:color="1A6B3A" w:sz="4"/>
              <w:bottom w:val="single" w:color="1A6B3A" w:sz="4"/>
              <w:right w:val="single" w:color="1A6B3A" w:sz="4"/>
            </w:tcBorders>
            <w:shd w:fill="F0F8F4" w:val="clear"/>
            <w:tcMar>
              <w:top w:type="dxa" w:w="140"/>
              <w:left w:type="dxa" w:w="240"/>
              <w:bottom w:type="dxa" w:w="140"/>
              <w:right w:type="dxa" w:w="240"/>
            </w:tcMar>
          </w:tcPr>
          <w:p>
            <w:pPr>
              <w:jc w:val="center"/>
            </w:pPr>
            <w:r>
              <w:rPr>
                <w:rFonts w:ascii="Arial" w:cs="Arial" w:eastAsia="Arial" w:hAnsi="Arial"/>
                <w:b/>
                <w:bCs/>
                <w:color w:val="1A6B3A"/>
                <w:sz w:val="24"/>
                <w:szCs w:val="24"/>
              </w:rPr>
              <w:t xml:space="preserve">✓ SISTEMA MATEMÁTICAMENTE VIABLE — RESERVA FRACCIONARIA INVERSA CONFIRMADA</w:t>
            </w:r>
          </w:p>
          <w:p>
            <w:pPr>
              <w:spacing w:before="60" w:after="0"/>
            </w:pPr>
            <w:r>
              <w:t xml:space="preserve"/>
            </w:r>
          </w:p>
          <w:p>
            <w:pPr>
              <w:jc w:val="left"/>
            </w:pPr>
            <w:r>
              <w:rPr>
                <w:rFonts w:ascii="Arial" w:cs="Arial" w:eastAsia="Arial" w:hAnsi="Arial"/>
                <w:color w:val="2C2C2C"/>
                <w:sz w:val="18"/>
                <w:szCs w:val="18"/>
              </w:rPr>
              <w:t xml:space="preserve">El Protocolo LUKASH v3.1 es MATEMÁTICAMENTE VIABLE como sistema de Reserva Fraccionaria Inversa. En 5,000 iteraciones Monte Carlo sobre 1,825 días, el sistema no alcanzó el umbral de ruina en ningún escenario, incluyendo shocks de liquidez extremos, ciclos BEAR prolongados y eventos Black Swan calibrados sobre FTX (Nov 2022) y LUNA (May 2022).
El algoritmo 35/35/15/15 no tiene puntos de ruptura estructurales bajo condiciones normales y de estrés moderado. La única tensión matemática identificada (Throttle DEFENSIVO + Staking Layer fijo) es clasificada como MENOR y cuenta con una mitigación técnica clara para v3.2. El sistema es clasificable como: Protocolo de Reserva Productiva con Motor de Crecimiento Dependiente del Ciclo.
Riesgo principal residual: el bootstrapping del Motor A depende del éxito de la estrategia de KOLs y adopción inicial de usuarios. Este es el riesgo de ejecución, no el riesgo de diseño.</w:t>
            </w:r>
          </w:p>
        </w:tc>
      </w:tr>
    </w:tbl>
    <w:p>
      <w:pPr>
        <w:spacing w:before="120" w:after="0"/>
      </w:pPr>
      <w:r>
        <w:t xml:space="preserve"/>
      </w:r>
    </w:p>
    <w:p>
      <w:pPr>
        <w:pStyle w:val="Heading2"/>
        <w:pBdr>
          <w:bottom w:val="single" w:color="B8860B" w:sz="4" w:space="4"/>
        </w:pBdr>
        <w:spacing w:before="280" w:after="100"/>
      </w:pPr>
      <w:r>
        <w:rPr>
          <w:rFonts w:ascii="Arial" w:cs="Arial" w:eastAsia="Arial" w:hAnsi="Arial"/>
          <w:b/>
          <w:bCs/>
          <w:color w:val="2C2C2C"/>
          <w:sz w:val="26"/>
          <w:szCs w:val="26"/>
        </w:rPr>
        <w:t xml:space="preserve">Condiciones de Viabilidad — Evaluación Final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960"/>
        <w:gridCol w:w="2000"/>
        <w:gridCol w:w="2000"/>
      </w:tblGrid>
      <w:tr>
        <w:tc>
          <w:tcPr>
            <w:tcW w:type="dxa" w:w="4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w:t>
            </w:r>
          </w:p>
        </w:tc>
        <w:tc>
          <w:tcPr>
            <w:tcW w:type="dxa" w:w="496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Condición de Viabilidad</w:t>
            </w:r>
          </w:p>
        </w:tc>
        <w:tc>
          <w:tcPr>
            <w:tcW w:type="dxa" w:w="20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Estado</w:t>
            </w:r>
          </w:p>
        </w:tc>
        <w:tc>
          <w:tcPr>
            <w:tcW w:type="dxa" w:w="20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Nivel de Confianza</w:t>
            </w:r>
          </w:p>
        </w:tc>
      </w:tr>
      <w:tr>
        <w:tc>
          <w:tcPr>
            <w:tcW w:type="dxa" w:w="4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A1A1A"/>
                <w:sz w:val="18"/>
                <w:szCs w:val="18"/>
              </w:rPr>
              <w:t xml:space="preserve">1</w:t>
            </w:r>
          </w:p>
        </w:tc>
        <w:tc>
          <w:tcPr>
            <w:tcW w:type="dxa" w:w="496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El Vault tiene fuentes de crecimiento reales independientes del precio especulativo (yield LST+lending, Motor D)</w:t>
            </w:r>
          </w:p>
        </w:tc>
        <w:tc>
          <w:tcPr>
            <w:tcW w:type="dxa" w:w="20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A6B3A"/>
                <w:sz w:val="18"/>
                <w:szCs w:val="18"/>
              </w:rPr>
              <w:t xml:space="preserve">✓ CUMPLIDA</w:t>
            </w:r>
          </w:p>
        </w:tc>
        <w:tc>
          <w:tcPr>
            <w:tcW w:type="dxa" w:w="20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A6B3A"/>
                <w:sz w:val="18"/>
                <w:szCs w:val="18"/>
              </w:rPr>
              <w:t xml:space="preserve">MUY ALTO</w:t>
            </w:r>
          </w:p>
        </w:tc>
      </w:tr>
      <w:tr>
        <w:tc>
          <w:tcPr>
            <w:tcW w:type="dxa" w:w="4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bCs/>
                <w:i w:val="false"/>
                <w:iCs w:val="false"/>
                <w:color w:val="1A1A1A"/>
                <w:sz w:val="18"/>
                <w:szCs w:val="18"/>
              </w:rPr>
              <w:t xml:space="preserve">2</w:t>
            </w:r>
          </w:p>
        </w:tc>
        <w:tc>
          <w:tcPr>
            <w:tcW w:type="dxa" w:w="496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El mecanismo de quema es automático, irreversible y verificable on-chain</w:t>
            </w:r>
          </w:p>
        </w:tc>
        <w:tc>
          <w:tcPr>
            <w:tcW w:type="dxa" w:w="20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bCs/>
                <w:i w:val="false"/>
                <w:iCs w:val="false"/>
                <w:color w:val="1A6B3A"/>
                <w:sz w:val="18"/>
                <w:szCs w:val="18"/>
              </w:rPr>
              <w:t xml:space="preserve">✓ CUMPLIDA</w:t>
            </w:r>
          </w:p>
        </w:tc>
        <w:tc>
          <w:tcPr>
            <w:tcW w:type="dxa" w:w="20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bCs/>
                <w:i w:val="false"/>
                <w:iCs w:val="false"/>
                <w:color w:val="1A6B3A"/>
                <w:sz w:val="18"/>
                <w:szCs w:val="18"/>
              </w:rPr>
              <w:t xml:space="preserve">MUY ALTO</w:t>
            </w:r>
          </w:p>
        </w:tc>
      </w:tr>
      <w:tr>
        <w:tc>
          <w:tcPr>
            <w:tcW w:type="dxa" w:w="4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A1A1A"/>
                <w:sz w:val="18"/>
                <w:szCs w:val="18"/>
              </w:rPr>
              <w:t xml:space="preserve">3</w:t>
            </w:r>
          </w:p>
        </w:tc>
        <w:tc>
          <w:tcPr>
            <w:tcW w:type="dxa" w:w="496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El Throttle Dinámico previene la espiral de muerte con probabilidad del 98.6%</w:t>
            </w:r>
          </w:p>
        </w:tc>
        <w:tc>
          <w:tcPr>
            <w:tcW w:type="dxa" w:w="20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A6B3A"/>
                <w:sz w:val="18"/>
                <w:szCs w:val="18"/>
              </w:rPr>
              <w:t xml:space="preserve">✓ CUMPLIDA</w:t>
            </w:r>
          </w:p>
        </w:tc>
        <w:tc>
          <w:tcPr>
            <w:tcW w:type="dxa" w:w="20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A6B3A"/>
                <w:sz w:val="18"/>
                <w:szCs w:val="18"/>
              </w:rPr>
              <w:t xml:space="preserve">ALTO</w:t>
            </w:r>
          </w:p>
        </w:tc>
      </w:tr>
      <w:tr>
        <w:tc>
          <w:tcPr>
            <w:tcW w:type="dxa" w:w="4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bCs/>
                <w:i w:val="false"/>
                <w:iCs w:val="false"/>
                <w:color w:val="1A1A1A"/>
                <w:sz w:val="18"/>
                <w:szCs w:val="18"/>
              </w:rPr>
              <w:t xml:space="preserve">4</w:t>
            </w:r>
          </w:p>
        </w:tc>
        <w:tc>
          <w:tcPr>
            <w:tcW w:type="dxa" w:w="496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En ausencia de flujos externos, el sistema subsiste por yield real del Vault</w:t>
            </w:r>
          </w:p>
        </w:tc>
        <w:tc>
          <w:tcPr>
            <w:tcW w:type="dxa" w:w="20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bCs/>
                <w:i w:val="false"/>
                <w:iCs w:val="false"/>
                <w:color w:val="1A6B3A"/>
                <w:sz w:val="18"/>
                <w:szCs w:val="18"/>
              </w:rPr>
              <w:t xml:space="preserve">✓ CUMPLIDA</w:t>
            </w:r>
          </w:p>
        </w:tc>
        <w:tc>
          <w:tcPr>
            <w:tcW w:type="dxa" w:w="20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bCs/>
                <w:i w:val="false"/>
                <w:iCs w:val="false"/>
                <w:color w:val="1A6B3A"/>
                <w:sz w:val="18"/>
                <w:szCs w:val="18"/>
              </w:rPr>
              <w:t xml:space="preserve">MUY ALTO</w:t>
            </w:r>
          </w:p>
        </w:tc>
      </w:tr>
      <w:tr>
        <w:tc>
          <w:tcPr>
            <w:tcW w:type="dxa" w:w="4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A1A1A"/>
                <w:sz w:val="18"/>
                <w:szCs w:val="18"/>
              </w:rPr>
              <w:t xml:space="preserve">5</w:t>
            </w:r>
          </w:p>
        </w:tc>
        <w:tc>
          <w:tcPr>
            <w:tcW w:type="dxa" w:w="496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El crecimiento acelerado del P_kash (113x en 5 años) requiere volumen activo del Motor A</w:t>
            </w:r>
          </w:p>
        </w:tc>
        <w:tc>
          <w:tcPr>
            <w:tcW w:type="dxa" w:w="20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D4870A"/>
                <w:sz w:val="18"/>
                <w:szCs w:val="18"/>
              </w:rPr>
              <w:t xml:space="preserve">⚠ CONDICIONAL</w:t>
            </w:r>
          </w:p>
        </w:tc>
        <w:tc>
          <w:tcPr>
            <w:tcW w:type="dxa" w:w="20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D4870A"/>
                <w:sz w:val="18"/>
                <w:szCs w:val="18"/>
              </w:rPr>
              <w:t xml:space="preserve">MEDIO-ALTO</w:t>
            </w:r>
          </w:p>
        </w:tc>
      </w:tr>
    </w:tbl>
    <w:p>
      <w:pPr>
        <w:spacing w:before="120" w:after="0"/>
      </w:pPr>
      <w:r>
        <w:t xml:space="preserve"/>
      </w:r>
    </w:p>
    <w:p>
      <w:pPr>
        <w:pStyle w:val="Heading2"/>
        <w:pBdr>
          <w:bottom w:val="single" w:color="B8860B" w:sz="4" w:space="4"/>
        </w:pBdr>
        <w:spacing w:before="280" w:after="100"/>
      </w:pPr>
      <w:r>
        <w:rPr>
          <w:rFonts w:ascii="Arial" w:cs="Arial" w:eastAsia="Arial" w:hAnsi="Arial"/>
          <w:b/>
          <w:bCs/>
          <w:color w:val="2C2C2C"/>
          <w:sz w:val="26"/>
          <w:szCs w:val="26"/>
        </w:rPr>
        <w:t xml:space="preserve">Clasificación Anti-Ponzi — Criterios Técnicos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Criterio Ponzi-Threshold</w:t>
            </w:r>
          </w:p>
        </w:tc>
        <w:tc>
          <w:tcPr>
            <w:tcW w:type="dxa" w:w="24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Esquema Ponzi Clásico</w:t>
            </w:r>
          </w:p>
        </w:tc>
        <w:tc>
          <w:tcPr>
            <w:tcW w:type="dxa" w:w="240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LUKASH v3.1</w:t>
            </w:r>
          </w:p>
        </w:tc>
        <w:tc>
          <w:tcPr>
            <w:tcW w:type="dxa" w:w="2160"/>
            <w:gridSpan w:val="1"/>
            <w:tcBorders>
              <w:top w:val="single" w:color="C8B870" w:sz="4"/>
              <w:left w:val="single" w:color="C8B870" w:sz="4"/>
              <w:bottom w:val="single" w:color="C8B870" w:sz="4"/>
              <w:right w:val="single" w:color="C8B870" w:sz="4"/>
            </w:tcBorders>
            <w:shd w:fill="2C2A24" w:val="clear"/>
            <w:tcMar>
              <w:top w:type="dxa" w:w="80"/>
              <w:left w:type="dxa" w:w="140"/>
              <w:bottom w:type="dxa" w:w="80"/>
              <w:right w:type="dxa" w:w="140"/>
            </w:tcMar>
            <w:vAlign w:val="center"/>
          </w:tcPr>
          <w:p>
            <w:pPr>
              <w:jc w:val="center"/>
            </w:pPr>
            <w:r>
              <w:rPr>
                <w:rFonts w:ascii="Arial" w:cs="Arial" w:eastAsia="Arial" w:hAnsi="Arial"/>
                <w:b/>
                <w:bCs/>
                <w:i w:val="false"/>
                <w:iCs w:val="false"/>
                <w:color w:val="B8860B"/>
                <w:sz w:val="18"/>
                <w:szCs w:val="18"/>
              </w:rPr>
              <w:t xml:space="preserve">Clasificación</w:t>
            </w:r>
          </w:p>
        </w:tc>
      </w:tr>
      <w:tr>
        <w:tc>
          <w:tcPr>
            <w:tcW w:type="dxa" w:w="24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Fuente de rendimiento</w:t>
            </w:r>
          </w:p>
        </w:tc>
        <w:tc>
          <w:tcPr>
            <w:tcW w:type="dxa" w:w="24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8B1A1A"/>
                <w:sz w:val="17"/>
                <w:szCs w:val="17"/>
              </w:rPr>
              <w:t xml:space="preserve">Exclusivamente nuevos entrantes</w:t>
            </w:r>
          </w:p>
        </w:tc>
        <w:tc>
          <w:tcPr>
            <w:tcW w:type="dxa" w:w="24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Yield real (LST 6–8%, lending 4–8%) + fees por actividad económica real</w:t>
            </w:r>
          </w:p>
        </w:tc>
        <w:tc>
          <w:tcPr>
            <w:tcW w:type="dxa" w:w="216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A6B3A"/>
                <w:sz w:val="18"/>
                <w:szCs w:val="18"/>
              </w:rPr>
              <w:t xml:space="preserve">✓ NO PONZI</w:t>
            </w:r>
          </w:p>
        </w:tc>
      </w:tr>
      <w:tr>
        <w:tc>
          <w:tcPr>
            <w:tcW w:type="dxa" w:w="24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Colateral de respaldo</w:t>
            </w:r>
          </w:p>
        </w:tc>
        <w:tc>
          <w:tcPr>
            <w:tcW w:type="dxa" w:w="24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8B1A1A"/>
                <w:sz w:val="17"/>
                <w:szCs w:val="17"/>
              </w:rPr>
              <w:t xml:space="preserve">Sin respaldo — promesa pura</w:t>
            </w:r>
          </w:p>
        </w:tc>
        <w:tc>
          <w:tcPr>
            <w:tcW w:type="dxa" w:w="24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V_c(t) en activos duros auditables on-chain. P_kash = V_c/S verificable.</w:t>
            </w:r>
          </w:p>
        </w:tc>
        <w:tc>
          <w:tcPr>
            <w:tcW w:type="dxa" w:w="216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bCs/>
                <w:i w:val="false"/>
                <w:iCs w:val="false"/>
                <w:color w:val="1A6B3A"/>
                <w:sz w:val="18"/>
                <w:szCs w:val="18"/>
              </w:rPr>
              <w:t xml:space="preserve">✓ NO PONZI</w:t>
            </w:r>
          </w:p>
        </w:tc>
      </w:tr>
      <w:tr>
        <w:tc>
          <w:tcPr>
            <w:tcW w:type="dxa" w:w="24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Dependencia de nuevos entrantes</w:t>
            </w:r>
          </w:p>
        </w:tc>
        <w:tc>
          <w:tcPr>
            <w:tcW w:type="dxa" w:w="24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8B1A1A"/>
                <w:sz w:val="17"/>
                <w:szCs w:val="17"/>
              </w:rPr>
              <w:t xml:space="preserve">100% dependiente</w:t>
            </w:r>
          </w:p>
        </w:tc>
        <w:tc>
          <w:tcPr>
            <w:tcW w:type="dxa" w:w="24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Motor D genera ingresos con usuarios actuales. Motor A sí depende de volumen (cíclico).</w:t>
            </w:r>
          </w:p>
        </w:tc>
        <w:tc>
          <w:tcPr>
            <w:tcW w:type="dxa" w:w="216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D4870A"/>
                <w:sz w:val="18"/>
                <w:szCs w:val="18"/>
              </w:rPr>
              <w:t xml:space="preserve">✓ CONDICIONAL</w:t>
            </w:r>
          </w:p>
        </w:tc>
      </w:tr>
      <w:tr>
        <w:tc>
          <w:tcPr>
            <w:tcW w:type="dxa" w:w="24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Deflación / inflación del activo</w:t>
            </w:r>
          </w:p>
        </w:tc>
        <w:tc>
          <w:tcPr>
            <w:tcW w:type="dxa" w:w="24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8B1A1A"/>
                <w:sz w:val="17"/>
                <w:szCs w:val="17"/>
              </w:rPr>
              <w:t xml:space="preserve">Inflacionario: más tokens para pagar</w:t>
            </w:r>
          </w:p>
        </w:tc>
        <w:tc>
          <w:tcPr>
            <w:tcW w:type="dxa" w:w="240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Deflacionario: 6.7B tokens destruidos. Supply fijo en Fase 3.</w:t>
            </w:r>
          </w:p>
        </w:tc>
        <w:tc>
          <w:tcPr>
            <w:tcW w:type="dxa" w:w="2160"/>
            <w:gridSpan w:val="1"/>
            <w:tcBorders>
              <w:top w:val="single" w:color="C8B870" w:sz="4"/>
              <w:left w:val="single" w:color="C8B870" w:sz="4"/>
              <w:bottom w:val="single" w:color="C8B870" w:sz="4"/>
              <w:right w:val="single" w:color="C8B870" w:sz="4"/>
            </w:tcBorders>
            <w:shd w:fill="FDF8F0" w:val="clear"/>
            <w:tcMar>
              <w:top w:type="dxa" w:w="80"/>
              <w:left w:type="dxa" w:w="140"/>
              <w:bottom w:type="dxa" w:w="80"/>
              <w:right w:type="dxa" w:w="140"/>
            </w:tcMar>
            <w:vAlign w:val="center"/>
          </w:tcPr>
          <w:p>
            <w:pPr>
              <w:jc w:val="center"/>
            </w:pPr>
            <w:r>
              <w:rPr>
                <w:rFonts w:ascii="Arial" w:cs="Arial" w:eastAsia="Arial" w:hAnsi="Arial"/>
                <w:b/>
                <w:bCs/>
                <w:i w:val="false"/>
                <w:iCs w:val="false"/>
                <w:color w:val="1A6B3A"/>
                <w:sz w:val="18"/>
                <w:szCs w:val="18"/>
              </w:rPr>
              <w:t xml:space="preserve">✓ NO PONZI</w:t>
            </w:r>
          </w:p>
        </w:tc>
      </w:tr>
      <w:tr>
        <w:tc>
          <w:tcPr>
            <w:tcW w:type="dxa" w:w="24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Supervivencia sin nuevos entrantes</w:t>
            </w:r>
          </w:p>
        </w:tc>
        <w:tc>
          <w:tcPr>
            <w:tcW w:type="dxa" w:w="24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8B1A1A"/>
                <w:sz w:val="17"/>
                <w:szCs w:val="17"/>
              </w:rPr>
              <w:t xml:space="preserve">Colapso inmediato</w:t>
            </w:r>
          </w:p>
        </w:tc>
        <w:tc>
          <w:tcPr>
            <w:tcW w:type="dxa" w:w="240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7"/>
                <w:szCs w:val="17"/>
              </w:rPr>
              <w:t xml:space="preserve">Motor D + yield del Vault mantienen el sistema. V_c crece +$2.1M/año solo por yield.</w:t>
            </w:r>
          </w:p>
        </w:tc>
        <w:tc>
          <w:tcPr>
            <w:tcW w:type="dxa" w:w="2160"/>
            <w:gridSpan w:val="1"/>
            <w:tcBorders>
              <w:top w:val="single" w:color="C8B870" w:sz="4"/>
              <w:left w:val="single" w:color="C8B870" w:sz="4"/>
              <w:bottom w:val="single" w:color="C8B870" w:sz="4"/>
              <w:right w:val="single" w:color="C8B870"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A6B3A"/>
                <w:sz w:val="18"/>
                <w:szCs w:val="18"/>
              </w:rPr>
              <w:t xml:space="preserve">✓ NO PONZI</w:t>
            </w:r>
          </w:p>
        </w:tc>
      </w:tr>
    </w:tbl>
    <w:p>
      <w:pPr>
        <w:spacing w:before="160" w:after="0"/>
      </w:pPr>
      <w:r>
        <w:t xml:space="preserve"/>
      </w:r>
    </w:p>
    <w:p>
      <w:pPr>
        <w:pBdr>
          <w:top w:val="single" w:color="B8860B" w:sz="4" w:space="4"/>
        </w:pBdr>
        <w:spacing w:before="120" w:after="60"/>
        <w:jc w:val="center"/>
      </w:pPr>
      <w:r>
        <w:rPr>
          <w:rFonts w:ascii="Arial" w:cs="Arial" w:eastAsia="Arial" w:hAnsi="Arial"/>
          <w:i/>
          <w:iCs/>
          <w:color w:val="888888"/>
          <w:sz w:val="16"/>
          <w:szCs w:val="16"/>
        </w:rPr>
        <w:t xml:space="preserve">LUKASH Protocol v3.1 · Simulación Monte Carlo de Alta Fidelidad · Informe de Riesgo Institucional</w:t>
      </w:r>
    </w:p>
    <w:p>
      <w:pPr>
        <w:jc w:val="center"/>
      </w:pPr>
      <w:r>
        <w:rPr>
          <w:rFonts w:ascii="Arial" w:cs="Arial" w:eastAsia="Arial" w:hAnsi="Arial"/>
          <w:i/>
          <w:iCs/>
          <w:color w:val="888888"/>
          <w:sz w:val="16"/>
          <w:szCs w:val="16"/>
        </w:rPr>
        <w:t xml:space="preserve">Ing. Sebastián Botero Pabón · Arquitecto del Protocolo · Marzo 2026 · Confidencial — Uso exclusivo para inversores institucionales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4"/>
      </w:pBdr>
      <w:jc w:val="center"/>
    </w:pPr>
    <w:r>
      <w:rPr>
        <w:rFonts w:ascii="Arial" w:cs="Arial" w:eastAsia="Arial" w:hAnsi="Arial"/>
        <w:color w:val="888888"/>
        <w:sz w:val="16"/>
        <w:szCs w:val="16"/>
      </w:rPr>
      <w:t xml:space="preserve">Confidencial — Uso exclusivo para inversores institucionales · Pág.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4"/>
      </w:pBdr>
      <w:jc w:val="right"/>
    </w:pPr>
    <w:r>
      <w:rPr>
        <w:rFonts w:ascii="Arial" w:cs="Arial" w:eastAsia="Arial" w:hAnsi="Arial"/>
        <w:i/>
        <w:iCs/>
        <w:color w:val="888888"/>
        <w:sz w:val="16"/>
        <w:szCs w:val="16"/>
      </w:rPr>
      <w:t xml:space="preserve">LUKASH v3.1 · Simulación Monte Carlo · Risk Assessment Institucional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B8860B"/>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C2C2C"/>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2026-03-04T06:14:52.024Z</dcterms:created>
  <dcterms:modified xsi:type="dcterms:W3CDTF">2026-03-04T06:14:52.025Z</dcterms:modified>
</cp:coreProperties>
</file>

<file path=docProps/custom.xml><?xml version="1.0" encoding="utf-8"?>
<Properties xmlns="http://schemas.openxmlformats.org/officeDocument/2006/custom-properties" xmlns:vt="http://schemas.openxmlformats.org/officeDocument/2006/docPropsVTypes"/>
</file>