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after="60"/>
        <w:jc w:val="center"/>
      </w:pPr>
      <w:r>
        <w:rPr>
          <w:rFonts w:ascii="Arial" w:cs="Arial" w:eastAsia="Arial" w:hAnsi="Arial"/>
          <w:b/>
          <w:bCs/>
          <w:color w:val="1A3A5C"/>
          <w:sz w:val="64"/>
          <w:szCs w:val="64"/>
        </w:rPr>
        <w:t xml:space="preserve">LUKASH PROTOCOL v2.1</w:t>
      </w:r>
    </w:p>
    <w:p>
      <w:pPr>
        <w:spacing w:before="0" w:after="80"/>
        <w:jc w:val="center"/>
      </w:pPr>
      <w:r>
        <w:rPr>
          <w:rFonts w:ascii="Arial" w:cs="Arial" w:eastAsia="Arial" w:hAnsi="Arial"/>
          <w:b/>
          <w:bCs/>
          <w:color w:val="117A65"/>
          <w:sz w:val="48"/>
          <w:szCs w:val="48"/>
        </w:rPr>
        <w:t xml:space="preserve">SIMULACIÓN MONTE CARLO</w:t>
      </w:r>
    </w:p>
    <w:p>
      <w:pPr>
        <w:spacing w:before="0" w:after="60"/>
        <w:jc w:val="center"/>
      </w:pPr>
      <w:r>
        <w:rPr>
          <w:rFonts w:ascii="Arial" w:cs="Arial" w:eastAsia="Arial" w:hAnsi="Arial"/>
          <w:i/>
          <w:iCs/>
          <w:color w:val="666666"/>
          <w:sz w:val="24"/>
          <w:szCs w:val="24"/>
        </w:rPr>
        <w:t xml:space="preserve">Análisis Probabilístico de Estabilidad Sistémica — Horizonte 5 Años</w:t>
      </w:r>
    </w:p>
    <w:p>
      <w:pPr>
        <w:spacing w:before="0" w:after="500"/>
        <w:jc w:val="center"/>
      </w:pPr>
      <w:r>
        <w:rPr>
          <w:rFonts w:ascii="Arial" w:cs="Arial" w:eastAsia="Arial" w:hAnsi="Arial"/>
          <w:color w:val="999999"/>
          <w:sz w:val="20"/>
          <w:szCs w:val="20"/>
        </w:rPr>
        <w:t xml:space="preserve">5,000 iteraciones | 4 regímenes de mercado | 1,825 días simulados | Cadenas de Markov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BF5FB" w:val="clear"/>
            <w:tcMar>
              <w:top w:type="dxa" w:w="140"/>
              <w:left w:type="dxa" w:w="140"/>
              <w:bottom w:type="dxa" w:w="140"/>
              <w:right w:type="dxa" w:w="140"/>
            </w:tcMar>
          </w:tcPr>
          <w:p>
            <w:pPr>
              <w:jc w:val="center"/>
            </w:pPr>
            <w:r>
              <w:rPr>
                <w:rFonts w:ascii="Arial" w:cs="Arial" w:eastAsia="Arial" w:hAnsi="Arial"/>
                <w:color w:val="666666"/>
                <w:sz w:val="18"/>
                <w:szCs w:val="18"/>
              </w:rPr>
              <w:t xml:space="preserve">Vault Mediana (5 años)</w:t>
            </w:r>
          </w:p>
          <w:p>
            <w:pPr>
              <w:spacing w:before="60" w:after="40"/>
              <w:jc w:val="center"/>
            </w:pPr>
            <w:r>
              <w:rPr>
                <w:rFonts w:ascii="Arial" w:cs="Arial" w:eastAsia="Arial" w:hAnsi="Arial"/>
                <w:b/>
                <w:bCs/>
                <w:color w:val="1A3A5C"/>
                <w:sz w:val="32"/>
                <w:szCs w:val="32"/>
              </w:rPr>
              <w:t xml:space="preserve">$34.9M</w:t>
            </w:r>
          </w:p>
          <w:p>
            <w:pPr>
              <w:jc w:val="center"/>
            </w:pPr>
            <w:r>
              <w:rPr>
                <w:rFonts w:ascii="Arial" w:cs="Arial" w:eastAsia="Arial" w:hAnsi="Arial"/>
                <w:color w:val="888888"/>
                <w:sz w:val="17"/>
                <w:szCs w:val="17"/>
              </w:rPr>
              <w:t xml:space="preserve">rango P25–P75: $17.8M–$63.2M</w:t>
            </w:r>
          </w:p>
        </w:tc>
        <w:tc>
          <w:tcPr>
            <w:tcW w:type="dxa" w:w="2340"/>
            <w:tcBorders>
              <w:top w:val="none" w:color="FFFFFF" w:sz="0"/>
              <w:left w:val="none" w:color="FFFFFF" w:sz="0"/>
              <w:bottom w:val="none" w:color="FFFFFF" w:sz="0"/>
              <w:right w:val="none" w:color="FFFFFF" w:sz="0"/>
            </w:tcBorders>
            <w:shd w:fill="EAFAF1" w:val="clear"/>
            <w:tcMar>
              <w:top w:type="dxa" w:w="140"/>
              <w:left w:type="dxa" w:w="140"/>
              <w:bottom w:type="dxa" w:w="140"/>
              <w:right w:type="dxa" w:w="140"/>
            </w:tcMar>
          </w:tcPr>
          <w:p>
            <w:pPr>
              <w:jc w:val="center"/>
            </w:pPr>
            <w:r>
              <w:rPr>
                <w:rFonts w:ascii="Arial" w:cs="Arial" w:eastAsia="Arial" w:hAnsi="Arial"/>
                <w:color w:val="666666"/>
                <w:sz w:val="18"/>
                <w:szCs w:val="18"/>
              </w:rPr>
              <w:t xml:space="preserve">P(Vault ≥ $25M)</w:t>
            </w:r>
          </w:p>
          <w:p>
            <w:pPr>
              <w:spacing w:before="60" w:after="40"/>
              <w:jc w:val="center"/>
            </w:pPr>
            <w:r>
              <w:rPr>
                <w:rFonts w:ascii="Arial" w:cs="Arial" w:eastAsia="Arial" w:hAnsi="Arial"/>
                <w:b/>
                <w:bCs/>
                <w:color w:val="1E8449"/>
                <w:sz w:val="32"/>
                <w:szCs w:val="32"/>
              </w:rPr>
              <w:t xml:space="preserve">99.6%</w:t>
            </w:r>
          </w:p>
          <w:p>
            <w:pPr>
              <w:jc w:val="center"/>
            </w:pPr>
            <w:r>
              <w:rPr>
                <w:rFonts w:ascii="Arial" w:cs="Arial" w:eastAsia="Arial" w:hAnsi="Arial"/>
                <w:color w:val="888888"/>
                <w:sz w:val="17"/>
                <w:szCs w:val="17"/>
              </w:rPr>
              <w:t xml:space="preserve">en horizonte de 5 años</w:t>
            </w:r>
          </w:p>
        </w:tc>
        <w:tc>
          <w:tcPr>
            <w:tcW w:type="dxa" w:w="2340"/>
            <w:tcBorders>
              <w:top w:val="none" w:color="FFFFFF" w:sz="0"/>
              <w:left w:val="none" w:color="FFFFFF" w:sz="0"/>
              <w:bottom w:val="none" w:color="FFFFFF" w:sz="0"/>
              <w:right w:val="none" w:color="FFFFFF" w:sz="0"/>
            </w:tcBorders>
            <w:shd w:fill="E8F8F5" w:val="clear"/>
            <w:tcMar>
              <w:top w:type="dxa" w:w="140"/>
              <w:left w:type="dxa" w:w="140"/>
              <w:bottom w:type="dxa" w:w="140"/>
              <w:right w:type="dxa" w:w="140"/>
            </w:tcMar>
          </w:tcPr>
          <w:p>
            <w:pPr>
              <w:jc w:val="center"/>
            </w:pPr>
            <w:r>
              <w:rPr>
                <w:rFonts w:ascii="Arial" w:cs="Arial" w:eastAsia="Arial" w:hAnsi="Arial"/>
                <w:color w:val="666666"/>
                <w:sz w:val="18"/>
                <w:szCs w:val="18"/>
              </w:rPr>
              <w:t xml:space="preserve">P(Motor B2 activo)</w:t>
            </w:r>
          </w:p>
          <w:p>
            <w:pPr>
              <w:spacing w:before="60" w:after="40"/>
              <w:jc w:val="center"/>
            </w:pPr>
            <w:r>
              <w:rPr>
                <w:rFonts w:ascii="Arial" w:cs="Arial" w:eastAsia="Arial" w:hAnsi="Arial"/>
                <w:b/>
                <w:bCs/>
                <w:color w:val="117A65"/>
                <w:sz w:val="32"/>
                <w:szCs w:val="32"/>
              </w:rPr>
              <w:t xml:space="preserve">84.5%</w:t>
            </w:r>
          </w:p>
          <w:p>
            <w:pPr>
              <w:jc w:val="center"/>
            </w:pPr>
            <w:r>
              <w:rPr>
                <w:rFonts w:ascii="Arial" w:cs="Arial" w:eastAsia="Arial" w:hAnsi="Arial"/>
                <w:color w:val="888888"/>
                <w:sz w:val="17"/>
                <w:szCs w:val="17"/>
              </w:rPr>
              <w:t xml:space="preserve">antes del año 2</w:t>
            </w:r>
          </w:p>
        </w:tc>
        <w:tc>
          <w:tcPr>
            <w:tcW w:type="dxa" w:w="2340"/>
            <w:tcBorders>
              <w:top w:val="none" w:color="FFFFFF" w:sz="0"/>
              <w:left w:val="none" w:color="FFFFFF" w:sz="0"/>
              <w:bottom w:val="none" w:color="FFFFFF" w:sz="0"/>
              <w:right w:val="none" w:color="FFFFFF" w:sz="0"/>
            </w:tcBorders>
            <w:shd w:fill="FDEDEC" w:val="clear"/>
            <w:tcMar>
              <w:top w:type="dxa" w:w="140"/>
              <w:left w:type="dxa" w:w="140"/>
              <w:bottom w:type="dxa" w:w="140"/>
              <w:right w:type="dxa" w:w="140"/>
            </w:tcMar>
          </w:tcPr>
          <w:p>
            <w:pPr>
              <w:jc w:val="center"/>
            </w:pPr>
            <w:r>
              <w:rPr>
                <w:rFonts w:ascii="Arial" w:cs="Arial" w:eastAsia="Arial" w:hAnsi="Arial"/>
                <w:color w:val="666666"/>
                <w:sz w:val="18"/>
                <w:szCs w:val="18"/>
              </w:rPr>
              <w:t xml:space="preserve">Riesgo de Ruina Total</w:t>
            </w:r>
          </w:p>
          <w:p>
            <w:pPr>
              <w:spacing w:before="60" w:after="40"/>
              <w:jc w:val="center"/>
            </w:pPr>
            <w:r>
              <w:rPr>
                <w:rFonts w:ascii="Arial" w:cs="Arial" w:eastAsia="Arial" w:hAnsi="Arial"/>
                <w:b/>
                <w:bCs/>
                <w:color w:val="C0392B"/>
                <w:sz w:val="32"/>
                <w:szCs w:val="32"/>
              </w:rPr>
              <w:t xml:space="preserve">0.0%</w:t>
            </w:r>
          </w:p>
          <w:p>
            <w:pPr>
              <w:jc w:val="center"/>
            </w:pPr>
            <w:r>
              <w:rPr>
                <w:rFonts w:ascii="Arial" w:cs="Arial" w:eastAsia="Arial" w:hAnsi="Arial"/>
                <w:color w:val="888888"/>
                <w:sz w:val="17"/>
                <w:szCs w:val="17"/>
              </w:rPr>
              <w:t xml:space="preserve">vault &lt; 10% del capital inicial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EF9E7" w:val="clear"/>
            <w:tcMar>
              <w:top w:type="dxa" w:w="140"/>
              <w:left w:type="dxa" w:w="140"/>
              <w:bottom w:type="dxa" w:w="140"/>
              <w:right w:type="dxa" w:w="140"/>
            </w:tcMar>
          </w:tcPr>
          <w:p>
            <w:pPr>
              <w:jc w:val="center"/>
            </w:pPr>
            <w:r>
              <w:rPr>
                <w:rFonts w:ascii="Arial" w:cs="Arial" w:eastAsia="Arial" w:hAnsi="Arial"/>
                <w:color w:val="666666"/>
                <w:sz w:val="18"/>
                <w:szCs w:val="18"/>
              </w:rPr>
              <w:t xml:space="preserve">Supply Objetivo</w:t>
            </w:r>
          </w:p>
          <w:p>
            <w:pPr>
              <w:spacing w:before="60" w:after="40"/>
              <w:jc w:val="center"/>
            </w:pPr>
            <w:r>
              <w:rPr>
                <w:rFonts w:ascii="Arial" w:cs="Arial" w:eastAsia="Arial" w:hAnsi="Arial"/>
                <w:b/>
                <w:bCs/>
                <w:color w:val="9A7D0A"/>
                <w:sz w:val="32"/>
                <w:szCs w:val="32"/>
              </w:rPr>
              <w:t xml:space="preserve">~Año 1</w:t>
            </w:r>
          </w:p>
          <w:p>
            <w:pPr>
              <w:jc w:val="center"/>
            </w:pPr>
            <w:r>
              <w:rPr>
                <w:rFonts w:ascii="Arial" w:cs="Arial" w:eastAsia="Arial" w:hAnsi="Arial"/>
                <w:color w:val="888888"/>
                <w:sz w:val="17"/>
                <w:szCs w:val="17"/>
              </w:rPr>
              <w:t xml:space="preserve">3.3B tokens en mediana de simulaciones</w:t>
            </w:r>
          </w:p>
        </w:tc>
        <w:tc>
          <w:tcPr>
            <w:tcW w:type="dxa" w:w="2340"/>
            <w:tcBorders>
              <w:top w:val="none" w:color="FFFFFF" w:sz="0"/>
              <w:left w:val="none" w:color="FFFFFF" w:sz="0"/>
              <w:bottom w:val="none" w:color="FFFFFF" w:sz="0"/>
              <w:right w:val="none" w:color="FFFFFF" w:sz="0"/>
            </w:tcBorders>
            <w:shd w:fill="EAFAF1" w:val="clear"/>
            <w:tcMar>
              <w:top w:type="dxa" w:w="140"/>
              <w:left w:type="dxa" w:w="140"/>
              <w:bottom w:type="dxa" w:w="140"/>
              <w:right w:type="dxa" w:w="140"/>
            </w:tcMar>
          </w:tcPr>
          <w:p>
            <w:pPr>
              <w:jc w:val="center"/>
            </w:pPr>
            <w:r>
              <w:rPr>
                <w:rFonts w:ascii="Arial" w:cs="Arial" w:eastAsia="Arial" w:hAnsi="Arial"/>
                <w:color w:val="666666"/>
                <w:sz w:val="18"/>
                <w:szCs w:val="18"/>
              </w:rPr>
              <w:t xml:space="preserve">Espiral de Muerte</w:t>
            </w:r>
          </w:p>
          <w:p>
            <w:pPr>
              <w:spacing w:before="60" w:after="40"/>
              <w:jc w:val="center"/>
            </w:pPr>
            <w:r>
              <w:rPr>
                <w:rFonts w:ascii="Arial" w:cs="Arial" w:eastAsia="Arial" w:hAnsi="Arial"/>
                <w:b/>
                <w:bCs/>
                <w:color w:val="1E8449"/>
                <w:sz w:val="32"/>
                <w:szCs w:val="32"/>
              </w:rPr>
              <w:t xml:space="preserve">1.6%</w:t>
            </w:r>
          </w:p>
          <w:p>
            <w:pPr>
              <w:jc w:val="center"/>
            </w:pPr>
            <w:r>
              <w:rPr>
                <w:rFonts w:ascii="Arial" w:cs="Arial" w:eastAsia="Arial" w:hAnsi="Arial"/>
                <w:color w:val="888888"/>
                <w:sz w:val="17"/>
                <w:szCs w:val="17"/>
              </w:rPr>
              <w:t xml:space="preserve">prob. de colapso en espiral</w:t>
            </w:r>
          </w:p>
        </w:tc>
        <w:tc>
          <w:tcPr>
            <w:tcW w:type="dxa" w:w="2340"/>
            <w:tcBorders>
              <w:top w:val="none" w:color="FFFFFF" w:sz="0"/>
              <w:left w:val="none" w:color="FFFFFF" w:sz="0"/>
              <w:bottom w:val="none" w:color="FFFFFF" w:sz="0"/>
              <w:right w:val="none" w:color="FFFFFF" w:sz="0"/>
            </w:tcBorders>
            <w:shd w:fill="EBF5FB" w:val="clear"/>
            <w:tcMar>
              <w:top w:type="dxa" w:w="140"/>
              <w:left w:type="dxa" w:w="140"/>
              <w:bottom w:type="dxa" w:w="140"/>
              <w:right w:type="dxa" w:w="140"/>
            </w:tcMar>
          </w:tcPr>
          <w:p>
            <w:pPr>
              <w:jc w:val="center"/>
            </w:pPr>
            <w:r>
              <w:rPr>
                <w:rFonts w:ascii="Arial" w:cs="Arial" w:eastAsia="Arial" w:hAnsi="Arial"/>
                <w:color w:val="666666"/>
                <w:sz w:val="18"/>
                <w:szCs w:val="18"/>
              </w:rPr>
              <w:t xml:space="preserve">Mediana Activación B2</w:t>
            </w:r>
          </w:p>
          <w:p>
            <w:pPr>
              <w:spacing w:before="60" w:after="40"/>
              <w:jc w:val="center"/>
            </w:pPr>
            <w:r>
              <w:rPr>
                <w:rFonts w:ascii="Arial" w:cs="Arial" w:eastAsia="Arial" w:hAnsi="Arial"/>
                <w:b/>
                <w:bCs/>
                <w:color w:val="1A3A5C"/>
                <w:sz w:val="32"/>
                <w:szCs w:val="32"/>
              </w:rPr>
              <w:t xml:space="preserve">357 días</w:t>
            </w:r>
          </w:p>
          <w:p>
            <w:pPr>
              <w:jc w:val="center"/>
            </w:pPr>
            <w:r>
              <w:rPr>
                <w:rFonts w:ascii="Arial" w:cs="Arial" w:eastAsia="Arial" w:hAnsi="Arial"/>
                <w:color w:val="888888"/>
                <w:sz w:val="17"/>
                <w:szCs w:val="17"/>
              </w:rPr>
              <w:t xml:space="preserve">~12 meses desde lanzamiento</w:t>
            </w:r>
          </w:p>
        </w:tc>
        <w:tc>
          <w:tcPr>
            <w:tcW w:type="dxa" w:w="2340"/>
            <w:tcBorders>
              <w:top w:val="none" w:color="FFFFFF" w:sz="0"/>
              <w:left w:val="none" w:color="FFFFFF" w:sz="0"/>
              <w:bottom w:val="none" w:color="FFFFFF" w:sz="0"/>
              <w:right w:val="none" w:color="FFFFFF" w:sz="0"/>
            </w:tcBorders>
            <w:shd w:fill="EAFAF1" w:val="clear"/>
            <w:tcMar>
              <w:top w:type="dxa" w:w="140"/>
              <w:left w:type="dxa" w:w="140"/>
              <w:bottom w:type="dxa" w:w="140"/>
              <w:right w:type="dxa" w:w="140"/>
            </w:tcMar>
          </w:tcPr>
          <w:p>
            <w:pPr>
              <w:jc w:val="center"/>
            </w:pPr>
            <w:r>
              <w:rPr>
                <w:rFonts w:ascii="Arial" w:cs="Arial" w:eastAsia="Arial" w:hAnsi="Arial"/>
                <w:color w:val="666666"/>
                <w:sz w:val="18"/>
                <w:szCs w:val="18"/>
              </w:rPr>
              <w:t xml:space="preserve">Tokens Quemados (5Y)</w:t>
            </w:r>
          </w:p>
          <w:p>
            <w:pPr>
              <w:spacing w:before="60" w:after="40"/>
              <w:jc w:val="center"/>
            </w:pPr>
            <w:r>
              <w:rPr>
                <w:rFonts w:ascii="Arial" w:cs="Arial" w:eastAsia="Arial" w:hAnsi="Arial"/>
                <w:b/>
                <w:bCs/>
                <w:color w:val="1E8449"/>
                <w:sz w:val="32"/>
                <w:szCs w:val="32"/>
              </w:rPr>
              <w:t xml:space="preserve">16.2B</w:t>
            </w:r>
          </w:p>
          <w:p>
            <w:pPr>
              <w:jc w:val="center"/>
            </w:pPr>
            <w:r>
              <w:rPr>
                <w:rFonts w:ascii="Arial" w:cs="Arial" w:eastAsia="Arial" w:hAnsi="Arial"/>
                <w:color w:val="888888"/>
                <w:sz w:val="17"/>
                <w:szCs w:val="17"/>
              </w:rPr>
              <w:t xml:space="preserve">P50 acumulado — meta: 6.7B</w:t>
            </w:r>
          </w:p>
        </w:tc>
      </w:tr>
    </w:tbl>
    <w:p>
      <w:pPr>
        <w:spacing w:before="60" w:after="60"/>
      </w:pPr>
      <w:r>
        <w:t xml:space="preserve"/>
      </w:r>
    </w:p>
    <w:p>
      <w:pPr>
        <w:spacing w:before="60" w:after="60"/>
      </w:pPr>
      <w:r>
        <w:t xml:space="preserve"/>
      </w:r>
    </w:p>
    <w:p>
      <w:pPr>
        <w:spacing w:before="200"/>
        <w:jc w:val="center"/>
      </w:pPr>
      <w:r>
        <w:rPr>
          <w:rFonts w:ascii="Arial" w:cs="Arial" w:eastAsia="Arial" w:hAnsi="Arial"/>
          <w:i/>
          <w:iCs/>
          <w:color w:val="9A7D0A"/>
          <w:sz w:val="20"/>
          <w:szCs w:val="20"/>
        </w:rPr>
        <w:t xml:space="preserve">⚠  El precio de $LUKA no se modela como métrica de simulación confiable — ver Sección 7 para explicación técnica.</w:t>
      </w:r>
    </w:p>
    <w:p>
      <w:r>
        <w:br w:type="page"/>
      </w:r>
    </w:p>
    <w:p>
      <w:pPr>
        <w:pStyle w:val="Heading1"/>
        <w:spacing w:before="400" w:after="160"/>
      </w:pPr>
      <w:r>
        <w:rPr>
          <w:rFonts w:ascii="Arial" w:cs="Arial" w:eastAsia="Arial" w:hAnsi="Arial"/>
          <w:b/>
          <w:bCs/>
          <w:color w:val="1A3A5C"/>
          <w:sz w:val="36"/>
          <w:szCs w:val="36"/>
        </w:rPr>
        <w:t xml:space="preserve">1. METODOLOGÍA DE LA SIMULACIÓN</w:t>
      </w:r>
    </w:p>
    <w:p>
      <w:pPr>
        <w:pBdr>
          <w:bottom w:val="single" w:color="1A3A5C" w:sz="4" w:space="1"/>
        </w:pBdr>
        <w:spacing w:before="160" w:after="160"/>
      </w:pPr>
      <w:r>
        <w:t xml:space="preserve"/>
      </w:r>
    </w:p>
    <w:p>
      <w:pPr>
        <w:spacing w:before="80" w:after="80"/>
      </w:pPr>
      <w:r>
        <w:rPr>
          <w:rFonts w:ascii="Arial" w:cs="Arial" w:eastAsia="Arial" w:hAnsi="Arial"/>
          <w:color w:val="444444"/>
          <w:sz w:val="22"/>
          <w:szCs w:val="22"/>
        </w:rPr>
        <w:t xml:space="preserve">La simulación corre 5,000 trayectorias independientes de 1,825 días (5 años) cada una, con transiciones de régimen de mercado según cadenas de Markov. Los resultados se reportan como distribuciones de probabilidad, no como escenarios únicos.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PARÁMETRO</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BULL</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NEUTRAL</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BEAR / CRASH</w:t>
            </w:r>
          </w:p>
        </w:tc>
      </w:tr>
      <w:tr>
        <w:tc>
          <w:tcPr>
            <w:tcW w:type="dxa" w:w="23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Volumen Motor A (diario)</w:t>
            </w:r>
          </w:p>
        </w:tc>
        <w:tc>
          <w:tcPr>
            <w:tcW w:type="dxa" w:w="23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$10M–$23M</w:t>
            </w:r>
          </w:p>
        </w:tc>
        <w:tc>
          <w:tcPr>
            <w:tcW w:type="dxa" w:w="23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$2M–$8M</w:t>
            </w:r>
          </w:p>
        </w:tc>
        <w:tc>
          <w:tcPr>
            <w:tcW w:type="dxa" w:w="2340"/>
            <w:tcBorders>
              <w:top w:val="single" w:color="CCCCCC" w:sz="1"/>
              <w:left w:val="single" w:color="CCCCCC" w:sz="1"/>
              <w:bottom w:val="single" w:color="CCCCCC" w:sz="1"/>
              <w:right w:val="single" w:color="CCCCCC" w:sz="1"/>
            </w:tcBorders>
            <w:shd w:fill="FDEDEC" w:val="clear"/>
            <w:tcMar>
              <w:top w:type="dxa" w:w="70"/>
              <w:left w:type="dxa" w:w="120"/>
              <w:bottom w:type="dxa" w:w="70"/>
              <w:right w:type="dxa" w:w="120"/>
            </w:tcMar>
          </w:tcPr>
          <w:p>
            <w:pPr>
              <w:jc w:val="left"/>
            </w:pPr>
            <w:r>
              <w:rPr>
                <w:rFonts w:ascii="Arial" w:cs="Arial" w:eastAsia="Arial" w:hAnsi="Arial"/>
                <w:color w:val="222222"/>
                <w:sz w:val="20"/>
                <w:szCs w:val="20"/>
              </w:rPr>
              <w:t xml:space="preserve">$0.3M–$2.5M</w:t>
            </w:r>
          </w:p>
        </w:tc>
      </w:tr>
      <w:tr>
        <w:tc>
          <w:tcPr>
            <w:tcW w:type="dxa" w:w="2340"/>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222222"/>
                <w:sz w:val="20"/>
                <w:szCs w:val="20"/>
              </w:rPr>
              <w:t xml:space="preserve">Drift BTC diario</w:t>
            </w:r>
          </w:p>
        </w:tc>
        <w:tc>
          <w:tcPr>
            <w:tcW w:type="dxa" w:w="23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+0.30%</w:t>
            </w:r>
          </w:p>
        </w:tc>
        <w:tc>
          <w:tcPr>
            <w:tcW w:type="dxa" w:w="2340"/>
            <w:tcBorders>
              <w:top w:val="single" w:color="CCCCCC" w:sz="1"/>
              <w:left w:val="single" w:color="CCCCCC" w:sz="1"/>
              <w:bottom w:val="single" w:color="CCCCCC" w:sz="1"/>
              <w:right w:val="single" w:color="CCCCCC" w:sz="1"/>
            </w:tcBorders>
            <w:shd w:fill="FDEDEC" w:val="clear"/>
            <w:tcMar>
              <w:top w:type="dxa" w:w="70"/>
              <w:left w:type="dxa" w:w="120"/>
              <w:bottom w:type="dxa" w:w="70"/>
              <w:right w:type="dxa" w:w="120"/>
            </w:tcMar>
          </w:tcPr>
          <w:p>
            <w:pPr>
              <w:jc w:val="left"/>
            </w:pPr>
            <w:r>
              <w:rPr>
                <w:rFonts w:ascii="Arial" w:cs="Arial" w:eastAsia="Arial" w:hAnsi="Arial"/>
                <w:color w:val="222222"/>
                <w:sz w:val="20"/>
                <w:szCs w:val="20"/>
              </w:rPr>
              <w:t xml:space="preserve">+0.05%</w:t>
            </w:r>
          </w:p>
        </w:tc>
        <w:tc>
          <w:tcPr>
            <w:tcW w:type="dxa" w:w="2340"/>
            <w:tcBorders>
              <w:top w:val="single" w:color="CCCCCC" w:sz="1"/>
              <w:left w:val="single" w:color="CCCCCC" w:sz="1"/>
              <w:bottom w:val="single" w:color="CCCCCC" w:sz="1"/>
              <w:right w:val="single" w:color="CCCCCC" w:sz="1"/>
            </w:tcBorders>
            <w:shd w:fill="FDEDEC" w:val="clear"/>
            <w:tcMar>
              <w:top w:type="dxa" w:w="70"/>
              <w:left w:type="dxa" w:w="120"/>
              <w:bottom w:type="dxa" w:w="70"/>
              <w:right w:type="dxa" w:w="120"/>
            </w:tcMar>
          </w:tcPr>
          <w:p>
            <w:pPr>
              <w:jc w:val="left"/>
            </w:pPr>
            <w:r>
              <w:rPr>
                <w:rFonts w:ascii="Arial" w:cs="Arial" w:eastAsia="Arial" w:hAnsi="Arial"/>
                <w:color w:val="222222"/>
                <w:sz w:val="20"/>
                <w:szCs w:val="20"/>
              </w:rPr>
              <w:t xml:space="preserve">−0.20% / −0.80%</w:t>
            </w:r>
          </w:p>
        </w:tc>
      </w:tr>
      <w:tr>
        <w:tc>
          <w:tcPr>
            <w:tcW w:type="dxa" w:w="23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Volatilidad BTC diaria</w:t>
            </w:r>
          </w:p>
        </w:tc>
        <w:tc>
          <w:tcPr>
            <w:tcW w:type="dxa" w:w="23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4%</w:t>
            </w:r>
          </w:p>
        </w:tc>
        <w:tc>
          <w:tcPr>
            <w:tcW w:type="dxa" w:w="234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pPr>
              <w:jc w:val="left"/>
            </w:pPr>
            <w:r>
              <w:rPr>
                <w:rFonts w:ascii="Arial" w:cs="Arial" w:eastAsia="Arial" w:hAnsi="Arial"/>
                <w:color w:val="222222"/>
                <w:sz w:val="20"/>
                <w:szCs w:val="20"/>
              </w:rPr>
              <w:t xml:space="preserve">3%</w:t>
            </w:r>
          </w:p>
        </w:tc>
        <w:tc>
          <w:tcPr>
            <w:tcW w:type="dxa" w:w="2340"/>
            <w:tcBorders>
              <w:top w:val="single" w:color="CCCCCC" w:sz="1"/>
              <w:left w:val="single" w:color="CCCCCC" w:sz="1"/>
              <w:bottom w:val="single" w:color="CCCCCC" w:sz="1"/>
              <w:right w:val="single" w:color="CCCCCC" w:sz="1"/>
            </w:tcBorders>
            <w:shd w:fill="FDEDEC" w:val="clear"/>
            <w:tcMar>
              <w:top w:type="dxa" w:w="70"/>
              <w:left w:type="dxa" w:w="120"/>
              <w:bottom w:type="dxa" w:w="70"/>
              <w:right w:type="dxa" w:w="120"/>
            </w:tcMar>
          </w:tcPr>
          <w:p>
            <w:pPr>
              <w:jc w:val="left"/>
            </w:pPr>
            <w:r>
              <w:rPr>
                <w:rFonts w:ascii="Arial" w:cs="Arial" w:eastAsia="Arial" w:hAnsi="Arial"/>
                <w:color w:val="222222"/>
                <w:sz w:val="20"/>
                <w:szCs w:val="20"/>
              </w:rPr>
              <w:t xml:space="preserve">5% / 8%</w:t>
            </w:r>
          </w:p>
        </w:tc>
      </w:tr>
      <w:tr>
        <w:tc>
          <w:tcPr>
            <w:tcW w:type="dxa" w:w="2340"/>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222222"/>
                <w:sz w:val="20"/>
                <w:szCs w:val="20"/>
              </w:rPr>
              <w:t xml:space="preserve">Tasa adopción App (diaria)</w:t>
            </w:r>
          </w:p>
        </w:tc>
        <w:tc>
          <w:tcPr>
            <w:tcW w:type="dxa" w:w="23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0.80%</w:t>
            </w:r>
          </w:p>
        </w:tc>
        <w:tc>
          <w:tcPr>
            <w:tcW w:type="dxa" w:w="2340"/>
            <w:tcBorders>
              <w:top w:val="single" w:color="CCCCCC" w:sz="1"/>
              <w:left w:val="single" w:color="CCCCCC" w:sz="1"/>
              <w:bottom w:val="single" w:color="CCCCCC" w:sz="1"/>
              <w:right w:val="single" w:color="CCCCCC" w:sz="1"/>
            </w:tcBorders>
            <w:shd w:fill="FDEDEC" w:val="clear"/>
            <w:tcMar>
              <w:top w:type="dxa" w:w="70"/>
              <w:left w:type="dxa" w:w="120"/>
              <w:bottom w:type="dxa" w:w="70"/>
              <w:right w:type="dxa" w:w="120"/>
            </w:tcMar>
          </w:tcPr>
          <w:p>
            <w:pPr>
              <w:jc w:val="left"/>
            </w:pPr>
            <w:r>
              <w:rPr>
                <w:rFonts w:ascii="Arial" w:cs="Arial" w:eastAsia="Arial" w:hAnsi="Arial"/>
                <w:color w:val="222222"/>
                <w:sz w:val="20"/>
                <w:szCs w:val="20"/>
              </w:rPr>
              <w:t xml:space="preserve">0.40%</w:t>
            </w:r>
          </w:p>
        </w:tc>
        <w:tc>
          <w:tcPr>
            <w:tcW w:type="dxa" w:w="2340"/>
            <w:tcBorders>
              <w:top w:val="single" w:color="CCCCCC" w:sz="1"/>
              <w:left w:val="single" w:color="CCCCCC" w:sz="1"/>
              <w:bottom w:val="single" w:color="CCCCCC" w:sz="1"/>
              <w:right w:val="single" w:color="CCCCCC" w:sz="1"/>
            </w:tcBorders>
            <w:shd w:fill="FDEDEC" w:val="clear"/>
            <w:tcMar>
              <w:top w:type="dxa" w:w="70"/>
              <w:left w:type="dxa" w:w="120"/>
              <w:bottom w:type="dxa" w:w="70"/>
              <w:right w:type="dxa" w:w="120"/>
            </w:tcMar>
          </w:tcPr>
          <w:p>
            <w:pPr>
              <w:jc w:val="left"/>
            </w:pPr>
            <w:r>
              <w:rPr>
                <w:rFonts w:ascii="Arial" w:cs="Arial" w:eastAsia="Arial" w:hAnsi="Arial"/>
                <w:color w:val="222222"/>
                <w:sz w:val="20"/>
                <w:szCs w:val="20"/>
              </w:rPr>
              <w:t xml:space="preserve">0.10% / 0%</w:t>
            </w:r>
          </w:p>
        </w:tc>
      </w:tr>
      <w:tr>
        <w:tc>
          <w:tcPr>
            <w:tcW w:type="dxa" w:w="23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P(shock diario)</w:t>
            </w:r>
          </w:p>
        </w:tc>
        <w:tc>
          <w:tcPr>
            <w:tcW w:type="dxa" w:w="23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1%</w:t>
            </w:r>
          </w:p>
        </w:tc>
        <w:tc>
          <w:tcPr>
            <w:tcW w:type="dxa" w:w="234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pPr>
              <w:jc w:val="left"/>
            </w:pPr>
            <w:r>
              <w:rPr>
                <w:rFonts w:ascii="Arial" w:cs="Arial" w:eastAsia="Arial" w:hAnsi="Arial"/>
                <w:color w:val="222222"/>
                <w:sz w:val="20"/>
                <w:szCs w:val="20"/>
              </w:rPr>
              <w:t xml:space="preserve">2%</w:t>
            </w:r>
          </w:p>
        </w:tc>
        <w:tc>
          <w:tcPr>
            <w:tcW w:type="dxa" w:w="2340"/>
            <w:tcBorders>
              <w:top w:val="single" w:color="CCCCCC" w:sz="1"/>
              <w:left w:val="single" w:color="CCCCCC" w:sz="1"/>
              <w:bottom w:val="single" w:color="CCCCCC" w:sz="1"/>
              <w:right w:val="single" w:color="CCCCCC" w:sz="1"/>
            </w:tcBorders>
            <w:shd w:fill="FDEDEC" w:val="clear"/>
            <w:tcMar>
              <w:top w:type="dxa" w:w="70"/>
              <w:left w:type="dxa" w:w="120"/>
              <w:bottom w:type="dxa" w:w="70"/>
              <w:right w:type="dxa" w:w="120"/>
            </w:tcMar>
          </w:tcPr>
          <w:p>
            <w:pPr>
              <w:jc w:val="left"/>
            </w:pPr>
            <w:r>
              <w:rPr>
                <w:rFonts w:ascii="Arial" w:cs="Arial" w:eastAsia="Arial" w:hAnsi="Arial"/>
                <w:color w:val="222222"/>
                <w:sz w:val="20"/>
                <w:szCs w:val="20"/>
              </w:rPr>
              <w:t xml:space="preserve">5% / 15%</w:t>
            </w:r>
          </w:p>
        </w:tc>
      </w:tr>
      <w:tr>
        <w:tc>
          <w:tcPr>
            <w:tcW w:type="dxa" w:w="2340"/>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222222"/>
                <w:sz w:val="20"/>
                <w:szCs w:val="20"/>
              </w:rPr>
              <w:t xml:space="preserve">Peso de probabilidad</w:t>
            </w:r>
          </w:p>
        </w:tc>
        <w:tc>
          <w:tcPr>
            <w:tcW w:type="dxa" w:w="23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25%</w:t>
            </w:r>
          </w:p>
        </w:tc>
        <w:tc>
          <w:tcPr>
            <w:tcW w:type="dxa" w:w="234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pPr>
              <w:jc w:val="left"/>
            </w:pPr>
            <w:r>
              <w:rPr>
                <w:rFonts w:ascii="Arial" w:cs="Arial" w:eastAsia="Arial" w:hAnsi="Arial"/>
                <w:color w:val="222222"/>
                <w:sz w:val="20"/>
                <w:szCs w:val="20"/>
              </w:rPr>
              <w:t xml:space="preserve">40%</w:t>
            </w:r>
          </w:p>
        </w:tc>
        <w:tc>
          <w:tcPr>
            <w:tcW w:type="dxa" w:w="2340"/>
            <w:tcBorders>
              <w:top w:val="single" w:color="CCCCCC" w:sz="1"/>
              <w:left w:val="single" w:color="CCCCCC" w:sz="1"/>
              <w:bottom w:val="single" w:color="CCCCCC" w:sz="1"/>
              <w:right w:val="single" w:color="CCCCCC" w:sz="1"/>
            </w:tcBorders>
            <w:shd w:fill="FDEDEC" w:val="clear"/>
            <w:tcMar>
              <w:top w:type="dxa" w:w="70"/>
              <w:left w:type="dxa" w:w="120"/>
              <w:bottom w:type="dxa" w:w="70"/>
              <w:right w:type="dxa" w:w="120"/>
            </w:tcMar>
          </w:tcPr>
          <w:p>
            <w:pPr>
              <w:jc w:val="left"/>
            </w:pPr>
            <w:r>
              <w:rPr>
                <w:rFonts w:ascii="Arial" w:cs="Arial" w:eastAsia="Arial" w:hAnsi="Arial"/>
                <w:color w:val="222222"/>
                <w:sz w:val="20"/>
                <w:szCs w:val="20"/>
              </w:rPr>
              <w:t xml:space="preserve">25% / 10%</w:t>
            </w:r>
          </w:p>
        </w:tc>
      </w:tr>
    </w:tbl>
    <w:p>
      <w:pPr>
        <w:spacing w:before="60" w:after="60"/>
      </w:pPr>
      <w:r>
        <w:t xml:space="preserve"/>
      </w:r>
    </w:p>
    <w:p>
      <w:pPr>
        <w:spacing w:before="200" w:after="80"/>
      </w:pPr>
      <w:r>
        <w:rPr>
          <w:rFonts w:ascii="Arial" w:cs="Arial" w:eastAsia="Arial" w:hAnsi="Arial"/>
          <w:b/>
          <w:bCs/>
          <w:color w:val="333333"/>
          <w:sz w:val="23"/>
          <w:szCs w:val="23"/>
        </w:rPr>
        <w:t xml:space="preserve">Variables Estocásticas Clave</w:t>
      </w:r>
    </w:p>
    <w:p>
      <w:pPr>
        <w:pStyle w:val="ListParagraph"/>
        <w:numPr>
          <w:ilvl w:val="0"/>
          <w:numId w:val="2"/>
        </w:numPr>
        <w:spacing w:before="45" w:after="45"/>
      </w:pPr>
      <w:r>
        <w:rPr>
          <w:rFonts w:ascii="Arial" w:cs="Arial" w:eastAsia="Arial" w:hAnsi="Arial"/>
          <w:b/>
          <w:bCs/>
          <w:sz w:val="22"/>
          <w:szCs w:val="22"/>
        </w:rPr>
        <w:t xml:space="preserve">Volumen Motor A:</w:t>
      </w:r>
      <w:r>
        <w:rPr>
          <w:rFonts w:ascii="Arial" w:cs="Arial" w:eastAsia="Arial" w:hAnsi="Arial"/>
          <w:sz w:val="22"/>
          <w:szCs w:val="22"/>
        </w:rPr>
        <w:t xml:space="preserve"> Log-normal con media según régimen. Incluye shocks de caída (-12%) con probabilidad diaria variable.</w:t>
      </w:r>
    </w:p>
    <w:p>
      <w:pPr>
        <w:pStyle w:val="ListParagraph"/>
        <w:numPr>
          <w:ilvl w:val="0"/>
          <w:numId w:val="2"/>
        </w:numPr>
        <w:spacing w:before="45" w:after="45"/>
      </w:pPr>
      <w:r>
        <w:rPr>
          <w:rFonts w:ascii="Arial" w:cs="Arial" w:eastAsia="Arial" w:hAnsi="Arial"/>
          <w:b/>
          <w:bCs/>
          <w:sz w:val="22"/>
          <w:szCs w:val="22"/>
        </w:rPr>
        <w:t xml:space="preserve">Yield del Vault:</w:t>
      </w:r>
      <w:r>
        <w:rPr>
          <w:rFonts w:ascii="Arial" w:cs="Arial" w:eastAsia="Arial" w:hAnsi="Arial"/>
          <w:sz w:val="22"/>
          <w:szCs w:val="22"/>
        </w:rPr>
        <w:t xml:space="preserve"> 6% anual base (LST + staking SOL), modulado por el retorno diario de activos según correlación con BTC.</w:t>
      </w:r>
    </w:p>
    <w:p>
      <w:pPr>
        <w:pStyle w:val="ListParagraph"/>
        <w:numPr>
          <w:ilvl w:val="0"/>
          <w:numId w:val="2"/>
        </w:numPr>
        <w:spacing w:before="45" w:after="45"/>
      </w:pPr>
      <w:r>
        <w:rPr>
          <w:rFonts w:ascii="Arial" w:cs="Arial" w:eastAsia="Arial" w:hAnsi="Arial"/>
          <w:b/>
          <w:bCs/>
          <w:sz w:val="22"/>
          <w:szCs w:val="22"/>
        </w:rPr>
        <w:t xml:space="preserve">Adopción de usuarios:</w:t>
      </w:r>
      <w:r>
        <w:rPr>
          <w:rFonts w:ascii="Arial" w:cs="Arial" w:eastAsia="Arial" w:hAnsi="Arial"/>
          <w:sz w:val="22"/>
          <w:szCs w:val="22"/>
        </w:rPr>
        <w:t xml:space="preserve"> Crecimiento compuesto diario con componente aleatorio. Sujeto a régimen de mercado.</w:t>
      </w:r>
    </w:p>
    <w:p>
      <w:pPr>
        <w:pStyle w:val="ListParagraph"/>
        <w:numPr>
          <w:ilvl w:val="0"/>
          <w:numId w:val="2"/>
        </w:numPr>
        <w:spacing w:before="45" w:after="45"/>
      </w:pPr>
      <w:r>
        <w:rPr>
          <w:rFonts w:ascii="Arial" w:cs="Arial" w:eastAsia="Arial" w:hAnsi="Arial"/>
          <w:b/>
          <w:bCs/>
          <w:sz w:val="22"/>
          <w:szCs w:val="22"/>
        </w:rPr>
        <w:t xml:space="preserve">Correlación de activos del Vault v2.1:</w:t>
      </w:r>
      <w:r>
        <w:rPr>
          <w:rFonts w:ascii="Arial" w:cs="Arial" w:eastAsia="Arial" w:hAnsi="Arial"/>
          <w:sz w:val="22"/>
          <w:szCs w:val="22"/>
        </w:rPr>
        <w:t xml:space="preserve"> cBTC=1.00, SOL=0.80, LST=0.75, USDC=0.00, ETH=0.65 vs BTC.</w:t>
      </w:r>
    </w:p>
    <w:p>
      <w:pPr>
        <w:pStyle w:val="ListParagraph"/>
        <w:numPr>
          <w:ilvl w:val="0"/>
          <w:numId w:val="2"/>
        </w:numPr>
        <w:spacing w:before="45" w:after="45"/>
      </w:pPr>
      <w:r>
        <w:rPr>
          <w:rFonts w:ascii="Arial" w:cs="Arial" w:eastAsia="Arial" w:hAnsi="Arial"/>
          <w:b/>
          <w:bCs/>
          <w:sz w:val="22"/>
          <w:szCs w:val="22"/>
        </w:rPr>
        <w:t xml:space="preserve">Transiciones de régimen:</w:t>
      </w:r>
      <w:r>
        <w:rPr>
          <w:rFonts w:ascii="Arial" w:cs="Arial" w:eastAsia="Arial" w:hAnsi="Arial"/>
          <w:sz w:val="22"/>
          <w:szCs w:val="22"/>
        </w:rPr>
        <w:t xml:space="preserve"> Cadena de Markov con duración promedio de 60 días por régimen.</w:t>
      </w:r>
    </w:p>
    <w:p>
      <w:pPr>
        <w:pStyle w:val="ListParagraph"/>
        <w:numPr>
          <w:ilvl w:val="0"/>
          <w:numId w:val="2"/>
        </w:numPr>
        <w:spacing w:before="45" w:after="45"/>
      </w:pPr>
      <w:r>
        <w:rPr>
          <w:rFonts w:ascii="Arial" w:cs="Arial" w:eastAsia="Arial" w:hAnsi="Arial"/>
          <w:b/>
          <w:bCs/>
          <w:sz w:val="22"/>
          <w:szCs w:val="22"/>
        </w:rPr>
        <w:t xml:space="preserve">Throttle dinámico:</w:t>
      </w:r>
      <w:r>
        <w:rPr>
          <w:rFonts w:ascii="Arial" w:cs="Arial" w:eastAsia="Arial" w:hAnsi="Arial"/>
          <w:sz w:val="22"/>
          <w:szCs w:val="22"/>
        </w:rPr>
        <w:t xml:space="preserve"> Activo en modo B2. Modula compensación al Vault según precio vs EMA30 (aproximado con ruido).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40"/>
              <w:left w:type="dxa" w:w="200"/>
              <w:bottom w:type="dxa" w:w="140"/>
              <w:right w:type="dxa" w:w="200"/>
            </w:tcMar>
          </w:tcPr>
          <w:p>
            <w:pPr>
              <w:spacing w:before="40" w:after="40"/>
            </w:pPr>
            <w:r>
              <w:rPr>
                <w:rFonts w:ascii="Arial" w:cs="Arial" w:eastAsia="Arial" w:hAnsi="Arial"/>
                <w:color w:val="9A7D0A"/>
                <w:sz w:val="22"/>
                <w:szCs w:val="22"/>
              </w:rPr>
              <w:t xml:space="preserve">NOTA METODOLÓGICA IMPORTANTE:</w:t>
            </w:r>
          </w:p>
          <w:p>
            <w:pPr>
              <w:spacing w:before="40" w:after="40"/>
            </w:pPr>
            <w:r>
              <w:rPr>
                <w:rFonts w:ascii="Arial" w:cs="Arial" w:eastAsia="Arial" w:hAnsi="Arial"/>
                <w:color w:val="9A7D0A"/>
                <w:sz w:val="22"/>
                <w:szCs w:val="22"/>
              </w:rPr>
              <w:t xml:space="preserve">El modelo de precio de $LUKA usa un proceso multiplicativo de sentimiento que acumula retornos</w:t>
            </w:r>
          </w:p>
          <w:p>
            <w:pPr>
              <w:spacing w:before="40" w:after="40"/>
            </w:pPr>
            <w:r>
              <w:rPr>
                <w:rFonts w:ascii="Arial" w:cs="Arial" w:eastAsia="Arial" w:hAnsi="Arial"/>
                <w:color w:val="9A7D0A"/>
                <w:sz w:val="22"/>
                <w:szCs w:val="22"/>
              </w:rPr>
              <w:t xml:space="preserve">exponencialmente. Sin mean-reversion explícita, genera overflow en horizontes largos (años 3–5).</w:t>
            </w:r>
          </w:p>
          <w:p>
            <w:pPr>
              <w:spacing w:before="40" w:after="40"/>
            </w:pPr>
            <w:r>
              <w:rPr>
                <w:rFonts w:ascii="Arial" w:cs="Arial" w:eastAsia="Arial" w:hAnsi="Arial"/>
                <w:color w:val="9A7D0A"/>
                <w:sz w:val="22"/>
                <w:szCs w:val="22"/>
              </w:rPr>
              <w:t xml:space="preserve">Por este motivo, el PRECIO NO SE REPORTA como métrica confiable de la simulación.</w:t>
            </w:r>
          </w:p>
          <w:p>
            <w:pPr>
              <w:spacing w:before="40" w:after="40"/>
            </w:pPr>
            <w:r>
              <w:rPr>
                <w:rFonts w:ascii="Arial" w:cs="Arial" w:eastAsia="Arial" w:hAnsi="Arial"/>
                <w:color w:val="9A7D0A"/>
                <w:sz w:val="22"/>
                <w:szCs w:val="22"/>
              </w:rPr>
              <w:t xml:space="preserve">Las métricas confiables son: Vault, Supply, Reserva Operativa, Usuarios y Tokens Quemados.</w:t>
            </w:r>
          </w:p>
          <w:p>
            <w:pPr>
              <w:spacing w:before="40" w:after="40"/>
            </w:pPr>
            <w:r>
              <w:rPr>
                <w:rFonts w:ascii="Arial" w:cs="Arial" w:eastAsia="Arial" w:hAnsi="Arial"/>
                <w:color w:val="9A7D0A"/>
                <w:sz w:val="22"/>
                <w:szCs w:val="22"/>
              </w:rPr>
              <w:t xml:space="preserve">En la Sección 7 se explica cómo debe interpretarse el precio teórico del token.</w:t>
            </w:r>
          </w:p>
        </w:tc>
      </w:tr>
    </w:tbl>
    <w:p>
      <w:pPr>
        <w:spacing w:before="60" w:after="60"/>
      </w:pPr>
      <w:r>
        <w:t xml:space="preserve"/>
      </w:r>
    </w:p>
    <w:p>
      <w:pPr>
        <w:spacing w:before="60" w:after="60"/>
      </w:pPr>
      <w:r>
        <w:t xml:space="preserve"/>
      </w:r>
    </w:p>
    <w:p>
      <w:r>
        <w:br w:type="page"/>
      </w:r>
    </w:p>
    <w:p>
      <w:pPr>
        <w:pStyle w:val="Heading1"/>
        <w:spacing w:before="400" w:after="160"/>
      </w:pPr>
      <w:r>
        <w:rPr>
          <w:rFonts w:ascii="Arial" w:cs="Arial" w:eastAsia="Arial" w:hAnsi="Arial"/>
          <w:b/>
          <w:bCs/>
          <w:color w:val="1A3A5C"/>
          <w:sz w:val="36"/>
          <w:szCs w:val="36"/>
        </w:rPr>
        <w:t xml:space="preserve">2. CRECIMIENTO DEL VAULT — DISTRIBUCIÓN DE RESULTADOS</w:t>
      </w:r>
    </w:p>
    <w:p>
      <w:pPr>
        <w:pBdr>
          <w:bottom w:val="single" w:color="1A3A5C" w:sz="4" w:space="1"/>
        </w:pBdr>
        <w:spacing w:before="160" w:after="160"/>
      </w:pPr>
      <w:r>
        <w:t xml:space="preserve"/>
      </w:r>
    </w:p>
    <w:p>
      <w:pPr>
        <w:spacing w:before="80" w:after="80"/>
      </w:pPr>
      <w:r>
        <w:rPr>
          <w:rFonts w:ascii="Arial" w:cs="Arial" w:eastAsia="Arial" w:hAnsi="Arial"/>
          <w:color w:val="444444"/>
          <w:sz w:val="22"/>
          <w:szCs w:val="22"/>
        </w:rPr>
        <w:t xml:space="preserve">El Vault KASH Core es la métrica estructural más importante del protocolo. Su crecimiento determina la activación del Motor B2 (K_min = $25M) y la solvencia del sistema a largo plazo.</w:t>
      </w:r>
    </w:p>
    <w:p>
      <w:pPr>
        <w:spacing w:before="60" w:after="60"/>
      </w:pPr>
      <w:r>
        <w:t xml:space="preserve"/>
      </w:r>
    </w:p>
    <w:p>
      <w:pPr>
        <w:pStyle w:val="Heading2"/>
        <w:spacing w:before="280" w:after="100"/>
      </w:pPr>
      <w:r>
        <w:rPr>
          <w:rFonts w:ascii="Arial" w:cs="Arial" w:eastAsia="Arial" w:hAnsi="Arial"/>
          <w:b/>
          <w:bCs/>
          <w:color w:val="1A3A5C"/>
          <w:sz w:val="26"/>
          <w:szCs w:val="26"/>
        </w:rPr>
        <w:t xml:space="preserve">2.1 Distribución del Vault Final (Año 5)</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900"/>
        <w:gridCol w:w="1800"/>
        <w:gridCol w:w="1860"/>
      </w:tblGrid>
      <w:tr>
        <w:trPr>
          <w:tblHeader/>
        </w:trP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PERCENTIL</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VAULT AÑO 1</w:t>
            </w:r>
          </w:p>
        </w:tc>
        <w:tc>
          <w:tcPr>
            <w:tcW w:type="dxa" w:w="1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VAULT AÑO 2</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VAULT AÑO 3</w:t>
            </w:r>
          </w:p>
        </w:tc>
        <w:tc>
          <w:tcPr>
            <w:tcW w:type="dxa" w:w="1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VAULT AÑO 5</w:t>
            </w:r>
          </w:p>
        </w:tc>
      </w:tr>
      <w:tr>
        <w:tc>
          <w:tcPr>
            <w:tcW w:type="dxa" w:w="1800"/>
            <w:tcBorders>
              <w:top w:val="single" w:color="CCCCCC" w:sz="1"/>
              <w:left w:val="single" w:color="CCCCCC" w:sz="1"/>
              <w:bottom w:val="single" w:color="CCCCCC" w:sz="1"/>
              <w:right w:val="single" w:color="CCCCCC" w:sz="1"/>
            </w:tcBorders>
            <w:shd w:fill="FDEDEC" w:val="clear"/>
            <w:tcMar>
              <w:top w:type="dxa" w:w="70"/>
              <w:left w:type="dxa" w:w="120"/>
              <w:bottom w:type="dxa" w:w="70"/>
              <w:right w:type="dxa" w:w="120"/>
            </w:tcMar>
          </w:tcPr>
          <w:p>
            <w:pPr>
              <w:jc w:val="left"/>
            </w:pPr>
            <w:r>
              <w:rPr>
                <w:rFonts w:ascii="Arial" w:cs="Arial" w:eastAsia="Arial" w:hAnsi="Arial"/>
                <w:color w:val="C0392B"/>
                <w:sz w:val="20"/>
                <w:szCs w:val="20"/>
              </w:rPr>
              <w:t xml:space="preserve">P5 (peor 5%)</w:t>
            </w:r>
          </w:p>
        </w:tc>
        <w:tc>
          <w:tcPr>
            <w:tcW w:type="dxa" w:w="2000"/>
            <w:tcBorders>
              <w:top w:val="single" w:color="CCCCCC" w:sz="1"/>
              <w:left w:val="single" w:color="CCCCCC" w:sz="1"/>
              <w:bottom w:val="single" w:color="CCCCCC" w:sz="1"/>
              <w:right w:val="single" w:color="CCCCCC" w:sz="1"/>
            </w:tcBorders>
            <w:shd w:fill="FDEDEC" w:val="clear"/>
            <w:tcMar>
              <w:top w:type="dxa" w:w="70"/>
              <w:left w:type="dxa" w:w="120"/>
              <w:bottom w:type="dxa" w:w="70"/>
              <w:right w:type="dxa" w:w="120"/>
            </w:tcMar>
          </w:tcPr>
          <w:p>
            <w:pPr>
              <w:jc w:val="left"/>
            </w:pPr>
            <w:r>
              <w:rPr>
                <w:rFonts w:ascii="Arial" w:cs="Arial" w:eastAsia="Arial" w:hAnsi="Arial"/>
                <w:color w:val="C0392B"/>
                <w:sz w:val="20"/>
                <w:szCs w:val="20"/>
              </w:rPr>
              <w:t xml:space="preserve">$5.5M</w:t>
            </w:r>
          </w:p>
        </w:tc>
        <w:tc>
          <w:tcPr>
            <w:tcW w:type="dxa" w:w="1900"/>
            <w:tcBorders>
              <w:top w:val="single" w:color="CCCCCC" w:sz="1"/>
              <w:left w:val="single" w:color="CCCCCC" w:sz="1"/>
              <w:bottom w:val="single" w:color="CCCCCC" w:sz="1"/>
              <w:right w:val="single" w:color="CCCCCC" w:sz="1"/>
            </w:tcBorders>
            <w:shd w:fill="FDEDEC" w:val="clear"/>
            <w:tcMar>
              <w:top w:type="dxa" w:w="70"/>
              <w:left w:type="dxa" w:w="120"/>
              <w:bottom w:type="dxa" w:w="70"/>
              <w:right w:type="dxa" w:w="120"/>
            </w:tcMar>
          </w:tcPr>
          <w:p>
            <w:pPr>
              <w:jc w:val="left"/>
            </w:pPr>
            <w:r>
              <w:rPr>
                <w:rFonts w:ascii="Arial" w:cs="Arial" w:eastAsia="Arial" w:hAnsi="Arial"/>
                <w:color w:val="C0392B"/>
                <w:sz w:val="20"/>
                <w:szCs w:val="20"/>
              </w:rPr>
              <w:t xml:space="preserve">$5.0M</w:t>
            </w:r>
          </w:p>
        </w:tc>
        <w:tc>
          <w:tcPr>
            <w:tcW w:type="dxa" w:w="1800"/>
            <w:tcBorders>
              <w:top w:val="single" w:color="CCCCCC" w:sz="1"/>
              <w:left w:val="single" w:color="CCCCCC" w:sz="1"/>
              <w:bottom w:val="single" w:color="CCCCCC" w:sz="1"/>
              <w:right w:val="single" w:color="CCCCCC" w:sz="1"/>
            </w:tcBorders>
            <w:shd w:fill="FDEDEC" w:val="clear"/>
            <w:tcMar>
              <w:top w:type="dxa" w:w="70"/>
              <w:left w:type="dxa" w:w="120"/>
              <w:bottom w:type="dxa" w:w="70"/>
              <w:right w:type="dxa" w:w="120"/>
            </w:tcMar>
          </w:tcPr>
          <w:p>
            <w:pPr>
              <w:jc w:val="left"/>
            </w:pPr>
            <w:r>
              <w:rPr>
                <w:rFonts w:ascii="Arial" w:cs="Arial" w:eastAsia="Arial" w:hAnsi="Arial"/>
                <w:color w:val="C0392B"/>
                <w:sz w:val="20"/>
                <w:szCs w:val="20"/>
              </w:rPr>
              <w:t xml:space="preserve">$5.2M</w:t>
            </w:r>
          </w:p>
        </w:tc>
        <w:tc>
          <w:tcPr>
            <w:tcW w:type="dxa" w:w="1860"/>
            <w:tcBorders>
              <w:top w:val="single" w:color="CCCCCC" w:sz="1"/>
              <w:left w:val="single" w:color="CCCCCC" w:sz="1"/>
              <w:bottom w:val="single" w:color="CCCCCC" w:sz="1"/>
              <w:right w:val="single" w:color="CCCCCC" w:sz="1"/>
            </w:tcBorders>
            <w:shd w:fill="FDEDEC" w:val="clear"/>
            <w:tcMar>
              <w:top w:type="dxa" w:w="70"/>
              <w:left w:type="dxa" w:w="120"/>
              <w:bottom w:type="dxa" w:w="70"/>
              <w:right w:type="dxa" w:w="120"/>
            </w:tcMar>
          </w:tcPr>
          <w:p>
            <w:pPr>
              <w:jc w:val="left"/>
            </w:pPr>
            <w:r>
              <w:rPr>
                <w:rFonts w:ascii="Arial" w:cs="Arial" w:eastAsia="Arial" w:hAnsi="Arial"/>
                <w:color w:val="C0392B"/>
                <w:sz w:val="20"/>
                <w:szCs w:val="20"/>
              </w:rPr>
              <w:t xml:space="preserve">$5.5M</w:t>
            </w:r>
          </w:p>
        </w:tc>
      </w:tr>
      <w:tr>
        <w:tc>
          <w:tcPr>
            <w:tcW w:type="dxa" w:w="18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pPr>
              <w:jc w:val="left"/>
            </w:pPr>
            <w:r>
              <w:rPr>
                <w:rFonts w:ascii="Arial" w:cs="Arial" w:eastAsia="Arial" w:hAnsi="Arial"/>
                <w:color w:val="222222"/>
                <w:sz w:val="20"/>
                <w:szCs w:val="20"/>
              </w:rPr>
              <w:t xml:space="preserve">P25 (cuartil inf.)</w:t>
            </w:r>
          </w:p>
        </w:tc>
        <w:tc>
          <w:tcPr>
            <w:tcW w:type="dxa" w:w="20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pPr>
              <w:jc w:val="left"/>
            </w:pPr>
            <w:r>
              <w:rPr>
                <w:rFonts w:ascii="Arial" w:cs="Arial" w:eastAsia="Arial" w:hAnsi="Arial"/>
                <w:color w:val="222222"/>
                <w:sz w:val="20"/>
                <w:szCs w:val="20"/>
              </w:rPr>
              <w:t xml:space="preserve">$10.6M</w:t>
            </w:r>
          </w:p>
        </w:tc>
        <w:tc>
          <w:tcPr>
            <w:tcW w:type="dxa" w:w="19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pPr>
              <w:jc w:val="left"/>
            </w:pPr>
            <w:r>
              <w:rPr>
                <w:rFonts w:ascii="Arial" w:cs="Arial" w:eastAsia="Arial" w:hAnsi="Arial"/>
                <w:color w:val="222222"/>
                <w:sz w:val="20"/>
                <w:szCs w:val="20"/>
              </w:rPr>
              <w:t xml:space="preserve">$14.6M</w:t>
            </w:r>
          </w:p>
        </w:tc>
        <w:tc>
          <w:tcPr>
            <w:tcW w:type="dxa" w:w="18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pPr>
              <w:jc w:val="left"/>
            </w:pPr>
            <w:r>
              <w:rPr>
                <w:rFonts w:ascii="Arial" w:cs="Arial" w:eastAsia="Arial" w:hAnsi="Arial"/>
                <w:color w:val="222222"/>
                <w:sz w:val="20"/>
                <w:szCs w:val="20"/>
              </w:rPr>
              <w:t xml:space="preserve">$16.4M</w:t>
            </w:r>
          </w:p>
        </w:tc>
        <w:tc>
          <w:tcPr>
            <w:tcW w:type="dxa" w:w="186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pPr>
              <w:jc w:val="left"/>
            </w:pPr>
            <w:r>
              <w:rPr>
                <w:rFonts w:ascii="Arial" w:cs="Arial" w:eastAsia="Arial" w:hAnsi="Arial"/>
                <w:color w:val="222222"/>
                <w:sz w:val="20"/>
                <w:szCs w:val="20"/>
              </w:rPr>
              <w:t xml:space="preserve">$17.8M</w:t>
            </w:r>
          </w:p>
        </w:tc>
      </w:tr>
      <w:tr>
        <w:tc>
          <w:tcPr>
            <w:tcW w:type="dxa" w:w="18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P50 (mediana)</w:t>
            </w:r>
          </w:p>
        </w:tc>
        <w:tc>
          <w:tcPr>
            <w:tcW w:type="dxa" w:w="20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$19.8M</w:t>
            </w:r>
          </w:p>
        </w:tc>
        <w:tc>
          <w:tcPr>
            <w:tcW w:type="dxa" w:w="19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$28.0M</w:t>
            </w:r>
          </w:p>
        </w:tc>
        <w:tc>
          <w:tcPr>
            <w:tcW w:type="dxa" w:w="18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$31.9M</w:t>
            </w:r>
          </w:p>
        </w:tc>
        <w:tc>
          <w:tcPr>
            <w:tcW w:type="dxa" w:w="186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$34.9M</w:t>
            </w:r>
          </w:p>
        </w:tc>
      </w:tr>
      <w:tr>
        <w:tc>
          <w:tcPr>
            <w:tcW w:type="dxa" w:w="1800"/>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1E8449"/>
                <w:sz w:val="20"/>
                <w:szCs w:val="20"/>
              </w:rPr>
              <w:t xml:space="preserve">P75 (cuartil sup.)</w:t>
            </w:r>
          </w:p>
        </w:tc>
        <w:tc>
          <w:tcPr>
            <w:tcW w:type="dxa" w:w="2000"/>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1E8449"/>
                <w:sz w:val="20"/>
                <w:szCs w:val="20"/>
              </w:rPr>
              <w:t xml:space="preserve">$33.1M</w:t>
            </w:r>
          </w:p>
        </w:tc>
        <w:tc>
          <w:tcPr>
            <w:tcW w:type="dxa" w:w="1900"/>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1E8449"/>
                <w:sz w:val="20"/>
                <w:szCs w:val="20"/>
              </w:rPr>
              <w:t xml:space="preserve">$49.1M</w:t>
            </w:r>
          </w:p>
        </w:tc>
        <w:tc>
          <w:tcPr>
            <w:tcW w:type="dxa" w:w="1800"/>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1E8449"/>
                <w:sz w:val="20"/>
                <w:szCs w:val="20"/>
              </w:rPr>
              <w:t xml:space="preserve">$56.0M</w:t>
            </w:r>
          </w:p>
        </w:tc>
        <w:tc>
          <w:tcPr>
            <w:tcW w:type="dxa" w:w="1860"/>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1E8449"/>
                <w:sz w:val="20"/>
                <w:szCs w:val="20"/>
              </w:rPr>
              <w:t xml:space="preserve">$63.2M</w:t>
            </w:r>
          </w:p>
        </w:tc>
      </w:tr>
      <w:tr>
        <w:tc>
          <w:tcPr>
            <w:tcW w:type="dxa" w:w="1800"/>
            <w:tcBorders>
              <w:top w:val="single" w:color="CCCCCC" w:sz="1"/>
              <w:left w:val="single" w:color="CCCCCC" w:sz="1"/>
              <w:bottom w:val="single" w:color="CCCCCC" w:sz="1"/>
              <w:right w:val="single" w:color="CCCCCC" w:sz="1"/>
            </w:tcBorders>
            <w:shd w:fill="E8F8F5" w:val="clear"/>
            <w:tcMar>
              <w:top w:type="dxa" w:w="70"/>
              <w:left w:type="dxa" w:w="120"/>
              <w:bottom w:type="dxa" w:w="70"/>
              <w:right w:type="dxa" w:w="120"/>
            </w:tcMar>
          </w:tcPr>
          <w:p>
            <w:pPr>
              <w:jc w:val="left"/>
            </w:pPr>
            <w:r>
              <w:rPr>
                <w:rFonts w:ascii="Arial" w:cs="Arial" w:eastAsia="Arial" w:hAnsi="Arial"/>
                <w:color w:val="117A65"/>
                <w:sz w:val="20"/>
                <w:szCs w:val="20"/>
              </w:rPr>
              <w:t xml:space="preserve">P95 (mejor 5%)</w:t>
            </w:r>
          </w:p>
        </w:tc>
        <w:tc>
          <w:tcPr>
            <w:tcW w:type="dxa" w:w="2000"/>
            <w:tcBorders>
              <w:top w:val="single" w:color="CCCCCC" w:sz="1"/>
              <w:left w:val="single" w:color="CCCCCC" w:sz="1"/>
              <w:bottom w:val="single" w:color="CCCCCC" w:sz="1"/>
              <w:right w:val="single" w:color="CCCCCC" w:sz="1"/>
            </w:tcBorders>
            <w:shd w:fill="E8F8F5" w:val="clear"/>
            <w:tcMar>
              <w:top w:type="dxa" w:w="70"/>
              <w:left w:type="dxa" w:w="120"/>
              <w:bottom w:type="dxa" w:w="70"/>
              <w:right w:type="dxa" w:w="120"/>
            </w:tcMar>
          </w:tcPr>
          <w:p>
            <w:pPr>
              <w:jc w:val="left"/>
            </w:pPr>
            <w:r>
              <w:rPr>
                <w:rFonts w:ascii="Arial" w:cs="Arial" w:eastAsia="Arial" w:hAnsi="Arial"/>
                <w:color w:val="117A65"/>
                <w:sz w:val="20"/>
                <w:szCs w:val="20"/>
              </w:rPr>
              <w:t xml:space="preserve">$67.3M</w:t>
            </w:r>
          </w:p>
        </w:tc>
        <w:tc>
          <w:tcPr>
            <w:tcW w:type="dxa" w:w="1900"/>
            <w:tcBorders>
              <w:top w:val="single" w:color="CCCCCC" w:sz="1"/>
              <w:left w:val="single" w:color="CCCCCC" w:sz="1"/>
              <w:bottom w:val="single" w:color="CCCCCC" w:sz="1"/>
              <w:right w:val="single" w:color="CCCCCC" w:sz="1"/>
            </w:tcBorders>
            <w:shd w:fill="E8F8F5" w:val="clear"/>
            <w:tcMar>
              <w:top w:type="dxa" w:w="70"/>
              <w:left w:type="dxa" w:w="120"/>
              <w:bottom w:type="dxa" w:w="70"/>
              <w:right w:type="dxa" w:w="120"/>
            </w:tcMar>
          </w:tcPr>
          <w:p>
            <w:pPr>
              <w:jc w:val="left"/>
            </w:pPr>
            <w:r>
              <w:rPr>
                <w:rFonts w:ascii="Arial" w:cs="Arial" w:eastAsia="Arial" w:hAnsi="Arial"/>
                <w:color w:val="117A65"/>
                <w:sz w:val="20"/>
                <w:szCs w:val="20"/>
              </w:rPr>
              <w:t xml:space="preserve">$106.3M</w:t>
            </w:r>
          </w:p>
        </w:tc>
        <w:tc>
          <w:tcPr>
            <w:tcW w:type="dxa" w:w="1800"/>
            <w:tcBorders>
              <w:top w:val="single" w:color="CCCCCC" w:sz="1"/>
              <w:left w:val="single" w:color="CCCCCC" w:sz="1"/>
              <w:bottom w:val="single" w:color="CCCCCC" w:sz="1"/>
              <w:right w:val="single" w:color="CCCCCC" w:sz="1"/>
            </w:tcBorders>
            <w:shd w:fill="E8F8F5" w:val="clear"/>
            <w:tcMar>
              <w:top w:type="dxa" w:w="70"/>
              <w:left w:type="dxa" w:w="120"/>
              <w:bottom w:type="dxa" w:w="70"/>
              <w:right w:type="dxa" w:w="120"/>
            </w:tcMar>
          </w:tcPr>
          <w:p>
            <w:pPr>
              <w:jc w:val="left"/>
            </w:pPr>
            <w:r>
              <w:rPr>
                <w:rFonts w:ascii="Arial" w:cs="Arial" w:eastAsia="Arial" w:hAnsi="Arial"/>
                <w:color w:val="117A65"/>
                <w:sz w:val="20"/>
                <w:szCs w:val="20"/>
              </w:rPr>
              <w:t xml:space="preserve">$123.9M</w:t>
            </w:r>
          </w:p>
        </w:tc>
        <w:tc>
          <w:tcPr>
            <w:tcW w:type="dxa" w:w="1860"/>
            <w:tcBorders>
              <w:top w:val="single" w:color="CCCCCC" w:sz="1"/>
              <w:left w:val="single" w:color="CCCCCC" w:sz="1"/>
              <w:bottom w:val="single" w:color="CCCCCC" w:sz="1"/>
              <w:right w:val="single" w:color="CCCCCC" w:sz="1"/>
            </w:tcBorders>
            <w:shd w:fill="E8F8F5" w:val="clear"/>
            <w:tcMar>
              <w:top w:type="dxa" w:w="70"/>
              <w:left w:type="dxa" w:w="120"/>
              <w:bottom w:type="dxa" w:w="70"/>
              <w:right w:type="dxa" w:w="120"/>
            </w:tcMar>
          </w:tcPr>
          <w:p>
            <w:pPr>
              <w:jc w:val="left"/>
            </w:pPr>
            <w:r>
              <w:rPr>
                <w:rFonts w:ascii="Arial" w:cs="Arial" w:eastAsia="Arial" w:hAnsi="Arial"/>
                <w:color w:val="117A65"/>
                <w:sz w:val="20"/>
                <w:szCs w:val="20"/>
              </w:rPr>
              <w:t xml:space="preserve">$146.8M</w:t>
            </w:r>
          </w:p>
        </w:tc>
      </w:tr>
    </w:tbl>
    <w:p>
      <w:pPr>
        <w:spacing w:before="60" w:after="60"/>
      </w:pPr>
      <w:r>
        <w:t xml:space="preserve"/>
      </w:r>
    </w:p>
    <w:p>
      <w:pPr>
        <w:pStyle w:val="Heading2"/>
        <w:spacing w:before="280" w:after="100"/>
      </w:pPr>
      <w:r>
        <w:rPr>
          <w:rFonts w:ascii="Arial" w:cs="Arial" w:eastAsia="Arial" w:hAnsi="Arial"/>
          <w:b/>
          <w:bCs/>
          <w:color w:val="1A3A5C"/>
          <w:sz w:val="26"/>
          <w:szCs w:val="26"/>
        </w:rPr>
        <w:t xml:space="preserve">2.2 Trayectoria Visual del Vault (Mediana ± Percentiles)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40"/>
              <w:left w:type="dxa" w:w="200"/>
              <w:bottom w:type="dxa" w:w="140"/>
              <w:right w:type="dxa" w:w="200"/>
            </w:tcMar>
          </w:tcPr>
          <w:p>
            <w:pPr>
              <w:spacing w:before="40" w:after="40"/>
            </w:pPr>
            <w:r>
              <w:rPr>
                <w:rFonts w:ascii="Arial" w:cs="Arial" w:eastAsia="Arial" w:hAnsi="Arial"/>
                <w:color w:val="1A3A5C"/>
                <w:sz w:val="22"/>
                <w:szCs w:val="22"/>
              </w:rPr>
              <w:t xml:space="preserve">VAULT ($M USD) — Trayectoria a 5 años (P50 con rangos P25–P75 y P5–P95)</w:t>
            </w:r>
          </w:p>
          <w:p>
            <w:pPr>
              <w:spacing w:before="40" w:after="40"/>
            </w:pPr>
            <w:r>
              <w:rPr>
                <w:rFonts w:ascii="Arial" w:cs="Arial" w:eastAsia="Arial" w:hAnsi="Arial"/>
                <w:color w:val="1A3A5C"/>
                <w:sz w:val="22"/>
                <w:szCs w:val="22"/>
              </w:rPr>
              <w:t xml:space="preserve"/>
            </w:r>
          </w:p>
          <w:p>
            <w:pPr>
              <w:spacing w:before="40" w:after="40"/>
            </w:pPr>
            <w:r>
              <w:rPr>
                <w:rFonts w:ascii="Arial" w:cs="Arial" w:eastAsia="Arial" w:hAnsi="Arial"/>
                <w:color w:val="1A3A5C"/>
                <w:sz w:val="22"/>
                <w:szCs w:val="22"/>
              </w:rPr>
              <w:t xml:space="preserve">$150M ┤                                                      ╭── P95</w:t>
            </w:r>
          </w:p>
          <w:p>
            <w:pPr>
              <w:spacing w:before="40" w:after="40"/>
            </w:pPr>
            <w:r>
              <w:rPr>
                <w:rFonts w:ascii="Arial" w:cs="Arial" w:eastAsia="Arial" w:hAnsi="Arial"/>
                <w:color w:val="1A3A5C"/>
                <w:sz w:val="22"/>
                <w:szCs w:val="22"/>
              </w:rPr>
              <w:t xml:space="preserve">       │                                              ╭───────╯</w:t>
            </w:r>
          </w:p>
          <w:p>
            <w:pPr>
              <w:spacing w:before="40" w:after="40"/>
            </w:pPr>
            <w:r>
              <w:rPr>
                <w:rFonts w:ascii="Arial" w:cs="Arial" w:eastAsia="Arial" w:hAnsi="Arial"/>
                <w:color w:val="1A3A5C"/>
                <w:sz w:val="22"/>
                <w:szCs w:val="22"/>
              </w:rPr>
              <w:t xml:space="preserve"> $63M ┤ ─ ─ ─ ─ ─ ─ ─ ─ ─ ─ ─ ─ ─ ─ ─ ─ ─╭─────────╯     P75</w:t>
            </w:r>
          </w:p>
          <w:p>
            <w:pPr>
              <w:spacing w:before="40" w:after="40"/>
            </w:pPr>
            <w:r>
              <w:rPr>
                <w:rFonts w:ascii="Arial" w:cs="Arial" w:eastAsia="Arial" w:hAnsi="Arial"/>
                <w:color w:val="1A3A5C"/>
                <w:sz w:val="22"/>
                <w:szCs w:val="22"/>
              </w:rPr>
              <w:t xml:space="preserve">       │                             ╭───────╯</w:t>
            </w:r>
          </w:p>
          <w:p>
            <w:pPr>
              <w:spacing w:before="40" w:after="40"/>
            </w:pPr>
            <w:r>
              <w:rPr>
                <w:rFonts w:ascii="Arial" w:cs="Arial" w:eastAsia="Arial" w:hAnsi="Arial"/>
                <w:color w:val="1A3A5C"/>
                <w:sz w:val="22"/>
                <w:szCs w:val="22"/>
              </w:rPr>
              <w:t xml:space="preserve"> $35M ┤ ─ ─ ─ ─ ─ ─ ─ ─ ─ ─╭───────╯               ← MEDIANA</w:t>
            </w:r>
          </w:p>
          <w:p>
            <w:pPr>
              <w:spacing w:before="40" w:after="40"/>
            </w:pPr>
            <w:r>
              <w:rPr>
                <w:rFonts w:ascii="Arial" w:cs="Arial" w:eastAsia="Arial" w:hAnsi="Arial"/>
                <w:color w:val="1A3A5C"/>
                <w:sz w:val="22"/>
                <w:szCs w:val="22"/>
              </w:rPr>
              <w:t xml:space="preserve">       │              ╭───────╯</w:t>
            </w:r>
          </w:p>
          <w:p>
            <w:pPr>
              <w:spacing w:before="40" w:after="40"/>
            </w:pPr>
            <w:r>
              <w:rPr>
                <w:rFonts w:ascii="Arial" w:cs="Arial" w:eastAsia="Arial" w:hAnsi="Arial"/>
                <w:color w:val="1A3A5C"/>
                <w:sz w:val="22"/>
                <w:szCs w:val="22"/>
              </w:rPr>
              <w:t xml:space="preserve"> $25M ├ ─ ─ ─ ─ ─ ─ ─╫─ ─ ─ ─ ─ ─ ─ ─ ─ ─ ─ ─ ─  ← K_MIN ($25M)</w:t>
            </w:r>
          </w:p>
          <w:p>
            <w:pPr>
              <w:spacing w:before="40" w:after="40"/>
            </w:pPr>
            <w:r>
              <w:rPr>
                <w:rFonts w:ascii="Arial" w:cs="Arial" w:eastAsia="Arial" w:hAnsi="Arial"/>
                <w:color w:val="1A3A5C"/>
                <w:sz w:val="22"/>
                <w:szCs w:val="22"/>
              </w:rPr>
              <w:t xml:space="preserve">       │         ╭────╯</w:t>
            </w:r>
          </w:p>
          <w:p>
            <w:pPr>
              <w:spacing w:before="40" w:after="40"/>
            </w:pPr>
            <w:r>
              <w:rPr>
                <w:rFonts w:ascii="Arial" w:cs="Arial" w:eastAsia="Arial" w:hAnsi="Arial"/>
                <w:color w:val="1A3A5C"/>
                <w:sz w:val="22"/>
                <w:szCs w:val="22"/>
              </w:rPr>
              <w:t xml:space="preserve"> $18M ┤ ─ ─ ─╭──╯                                     P25</w:t>
            </w:r>
          </w:p>
          <w:p>
            <w:pPr>
              <w:spacing w:before="40" w:after="40"/>
            </w:pPr>
            <w:r>
              <w:rPr>
                <w:rFonts w:ascii="Arial" w:cs="Arial" w:eastAsia="Arial" w:hAnsi="Arial"/>
                <w:color w:val="1A3A5C"/>
                <w:sz w:val="22"/>
                <w:szCs w:val="22"/>
              </w:rPr>
              <w:t xml:space="preserve">       │    ╭─╯</w:t>
            </w:r>
          </w:p>
          <w:p>
            <w:pPr>
              <w:spacing w:before="40" w:after="40"/>
            </w:pPr>
            <w:r>
              <w:rPr>
                <w:rFonts w:ascii="Arial" w:cs="Arial" w:eastAsia="Arial" w:hAnsi="Arial"/>
                <w:color w:val="1A3A5C"/>
                <w:sz w:val="22"/>
                <w:szCs w:val="22"/>
              </w:rPr>
              <w:t xml:space="preserve">  $5M ┤────╯                                           P5</w:t>
            </w:r>
          </w:p>
          <w:p>
            <w:pPr>
              <w:spacing w:before="40" w:after="40"/>
            </w:pPr>
            <w:r>
              <w:rPr>
                <w:rFonts w:ascii="Arial" w:cs="Arial" w:eastAsia="Arial" w:hAnsi="Arial"/>
                <w:color w:val="1A3A5C"/>
                <w:sz w:val="22"/>
                <w:szCs w:val="22"/>
              </w:rPr>
              <w:t xml:space="preserve">       └──────┬───────┬───────┬───────┬───────┬──────</w:t>
            </w:r>
          </w:p>
          <w:p>
            <w:pPr>
              <w:spacing w:before="40" w:after="40"/>
            </w:pPr>
            <w:r>
              <w:rPr>
                <w:rFonts w:ascii="Arial" w:cs="Arial" w:eastAsia="Arial" w:hAnsi="Arial"/>
                <w:color w:val="1A3A5C"/>
                <w:sz w:val="22"/>
                <w:szCs w:val="22"/>
              </w:rPr>
              <w:t xml:space="preserve">            M6      AÑO1    AÑO2    AÑO3    AÑO4    AÑO5</w:t>
            </w:r>
          </w:p>
          <w:p>
            <w:pPr>
              <w:spacing w:before="40" w:after="40"/>
            </w:pPr>
            <w:r>
              <w:rPr>
                <w:rFonts w:ascii="Arial" w:cs="Arial" w:eastAsia="Arial" w:hAnsi="Arial"/>
                <w:color w:val="1A3A5C"/>
                <w:sz w:val="22"/>
                <w:szCs w:val="22"/>
              </w:rPr>
              <w:t xml:space="preserve"/>
            </w:r>
          </w:p>
          <w:p>
            <w:pPr>
              <w:spacing w:before="40" w:after="40"/>
            </w:pPr>
            <w:r>
              <w:rPr>
                <w:rFonts w:ascii="Arial" w:cs="Arial" w:eastAsia="Arial" w:hAnsi="Arial"/>
                <w:color w:val="1A3A5C"/>
                <w:sz w:val="22"/>
                <w:szCs w:val="22"/>
              </w:rPr>
              <w:t xml:space="preserve">INTERPRETACIÓN: La mediana supera K_min ($25M) entre el Año 1 y Año 2.</w:t>
            </w:r>
          </w:p>
          <w:p>
            <w:pPr>
              <w:spacing w:before="40" w:after="40"/>
            </w:pPr>
            <w:r>
              <w:rPr>
                <w:rFonts w:ascii="Arial" w:cs="Arial" w:eastAsia="Arial" w:hAnsi="Arial"/>
                <w:color w:val="1A3A5C"/>
                <w:sz w:val="22"/>
                <w:szCs w:val="22"/>
              </w:rPr>
              <w:t xml:space="preserve">El P25 (25% más conservador) se mantiene por debajo de $25M en toda la simulación.</w:t>
            </w:r>
          </w:p>
          <w:p>
            <w:pPr>
              <w:spacing w:before="40" w:after="40"/>
            </w:pPr>
            <w:r>
              <w:rPr>
                <w:rFonts w:ascii="Arial" w:cs="Arial" w:eastAsia="Arial" w:hAnsi="Arial"/>
                <w:color w:val="1A3A5C"/>
                <w:sz w:val="22"/>
                <w:szCs w:val="22"/>
              </w:rPr>
              <w:t xml:space="preserve">El P75 supera $25M en el Año 1.</w:t>
            </w:r>
          </w:p>
        </w:tc>
      </w:tr>
    </w:tbl>
    <w:p>
      <w:pPr>
        <w:spacing w:before="60" w:after="60"/>
      </w:pPr>
      <w:r>
        <w:t xml:space="preserve"/>
      </w:r>
    </w:p>
    <w:p>
      <w:pPr>
        <w:pStyle w:val="Heading2"/>
        <w:spacing w:before="280" w:after="100"/>
      </w:pPr>
      <w:r>
        <w:rPr>
          <w:rFonts w:ascii="Arial" w:cs="Arial" w:eastAsia="Arial" w:hAnsi="Arial"/>
          <w:b/>
          <w:bCs/>
          <w:color w:val="1A3A5C"/>
          <w:sz w:val="26"/>
          <w:szCs w:val="26"/>
        </w:rPr>
        <w:t xml:space="preserve">2.3 Probabilidad de Alcanzar K_min ($25M) por Año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HORIZONTE</w:t>
            </w:r>
          </w:p>
        </w:tc>
        <w:tc>
          <w:tcPr>
            <w:tcW w:type="dxa" w:w="32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P(Vault ≥ $25M)</w:t>
            </w:r>
          </w:p>
        </w:tc>
        <w:tc>
          <w:tcPr>
            <w:tcW w:type="dxa" w:w="32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INTERPRETACIÓN</w:t>
            </w:r>
          </w:p>
        </w:tc>
      </w:tr>
      <w:t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Fin Año 1 (365 días)</w:t>
            </w:r>
          </w:p>
        </w:tc>
        <w:tc>
          <w:tcPr>
            <w:tcW w:type="dxa" w:w="3280"/>
            <w:tcBorders>
              <w:top w:val="none" w:color="FFFFFF" w:sz="0"/>
              <w:left w:val="none" w:color="FFFFFF" w:sz="0"/>
              <w:bottom w:val="none" w:color="FFFFFF" w:sz="0"/>
              <w:right w:val="none" w:color="FFFFFF" w:sz="0"/>
            </w:tcBorders>
            <w:shd w:fill="FEF9E7" w:val="clear"/>
            <w:tcMar>
              <w:top w:type="dxa" w:w="60"/>
              <w:left w:type="dxa" w:w="100"/>
              <w:bottom w:type="dxa" w:w="60"/>
              <w:right w:type="dxa" w:w="100"/>
            </w:tcMar>
          </w:tcPr>
          <w:p>
            <w:r>
              <w:rPr>
                <w:rFonts w:ascii="Courier New" w:cs="Courier New" w:eastAsia="Courier New" w:hAnsi="Courier New"/>
                <w:color w:val="9A7D0A"/>
                <w:sz w:val="18"/>
                <w:szCs w:val="18"/>
              </w:rPr>
              <w:t xml:space="preserve">██████████░░░░░░░░░░  51.7%</w:t>
            </w:r>
          </w:p>
        </w:tc>
        <w:tc>
          <w:tcPr>
            <w:tcW w:type="dxa" w:w="32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9"/>
                <w:szCs w:val="19"/>
              </w:rPr>
              <w:t xml:space="preserve">Mitad de simulaciones activan B2 en el primer año</w:t>
            </w:r>
          </w:p>
        </w:tc>
      </w:tr>
      <w:tr>
        <w:tc>
          <w:tcPr>
            <w:tcW w:type="dxa" w:w="28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sz w:val="20"/>
                <w:szCs w:val="20"/>
              </w:rPr>
              <w:t xml:space="preserve">Fin Año 2 (730 días)</w:t>
            </w:r>
          </w:p>
        </w:tc>
        <w:tc>
          <w:tcPr>
            <w:tcW w:type="dxa" w:w="3280"/>
            <w:tcBorders>
              <w:top w:val="none" w:color="FFFFFF" w:sz="0"/>
              <w:left w:val="none" w:color="FFFFFF" w:sz="0"/>
              <w:bottom w:val="none" w:color="FFFFFF" w:sz="0"/>
              <w:right w:val="none" w:color="FFFFFF" w:sz="0"/>
            </w:tcBorders>
            <w:shd w:fill="EBF5FB" w:val="clear"/>
            <w:tcMar>
              <w:top w:type="dxa" w:w="60"/>
              <w:left w:type="dxa" w:w="100"/>
              <w:bottom w:type="dxa" w:w="60"/>
              <w:right w:type="dxa" w:w="100"/>
            </w:tcMar>
          </w:tcPr>
          <w:p>
            <w:r>
              <w:rPr>
                <w:rFonts w:ascii="Courier New" w:cs="Courier New" w:eastAsia="Courier New" w:hAnsi="Courier New"/>
                <w:color w:val="117A65"/>
                <w:sz w:val="18"/>
                <w:szCs w:val="18"/>
              </w:rPr>
              <w:t xml:space="preserve">█████████████████░░░  84.5%</w:t>
            </w:r>
          </w:p>
        </w:tc>
        <w:tc>
          <w:tcPr>
            <w:tcW w:type="dxa" w:w="328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color w:val="555555"/>
                <w:sz w:val="19"/>
                <w:szCs w:val="19"/>
              </w:rPr>
              <w:t xml:space="preserve">Alta probabilidad — escenario de referencia para planificación</w:t>
            </w:r>
          </w:p>
        </w:tc>
      </w:tr>
      <w:tr>
        <w:tc>
          <w:tcPr>
            <w:tcW w:type="dxa" w:w="2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Fin Año 3 (1095 días)</w:t>
            </w:r>
          </w:p>
        </w:tc>
        <w:tc>
          <w:tcPr>
            <w:tcW w:type="dxa" w:w="3280"/>
            <w:tcBorders>
              <w:top w:val="none" w:color="FFFFFF" w:sz="0"/>
              <w:left w:val="none" w:color="FFFFFF" w:sz="0"/>
              <w:bottom w:val="none" w:color="FFFFFF" w:sz="0"/>
              <w:right w:val="none" w:color="FFFFFF" w:sz="0"/>
            </w:tcBorders>
            <w:shd w:fill="EAFAF1" w:val="clear"/>
            <w:tcMar>
              <w:top w:type="dxa" w:w="60"/>
              <w:left w:type="dxa" w:w="100"/>
              <w:bottom w:type="dxa" w:w="60"/>
              <w:right w:type="dxa" w:w="100"/>
            </w:tcMar>
          </w:tcPr>
          <w:p>
            <w:r>
              <w:rPr>
                <w:rFonts w:ascii="Courier New" w:cs="Courier New" w:eastAsia="Courier New" w:hAnsi="Courier New"/>
                <w:color w:val="1E8449"/>
                <w:sz w:val="18"/>
                <w:szCs w:val="18"/>
              </w:rPr>
              <w:t xml:space="preserve">███████████████████░  95.5%</w:t>
            </w:r>
          </w:p>
        </w:tc>
        <w:tc>
          <w:tcPr>
            <w:tcW w:type="dxa" w:w="32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555555"/>
                <w:sz w:val="19"/>
                <w:szCs w:val="19"/>
              </w:rPr>
              <w:t xml:space="preserve">Prácticamente universal — solo crashes extremos sostenidos lo evitan</w:t>
            </w:r>
          </w:p>
        </w:tc>
      </w:tr>
      <w:tr>
        <w:tc>
          <w:tcPr>
            <w:tcW w:type="dxa" w:w="28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sz w:val="20"/>
                <w:szCs w:val="20"/>
              </w:rPr>
              <w:t xml:space="preserve">Horizonte 5 años</w:t>
            </w:r>
          </w:p>
        </w:tc>
        <w:tc>
          <w:tcPr>
            <w:tcW w:type="dxa" w:w="3280"/>
            <w:tcBorders>
              <w:top w:val="none" w:color="FFFFFF" w:sz="0"/>
              <w:left w:val="none" w:color="FFFFFF" w:sz="0"/>
              <w:bottom w:val="none" w:color="FFFFFF" w:sz="0"/>
              <w:right w:val="none" w:color="FFFFFF" w:sz="0"/>
            </w:tcBorders>
            <w:shd w:fill="E8F8F5" w:val="clear"/>
            <w:tcMar>
              <w:top w:type="dxa" w:w="60"/>
              <w:left w:type="dxa" w:w="100"/>
              <w:bottom w:type="dxa" w:w="60"/>
              <w:right w:type="dxa" w:w="100"/>
            </w:tcMar>
          </w:tcPr>
          <w:p>
            <w:r>
              <w:rPr>
                <w:rFonts w:ascii="Courier New" w:cs="Courier New" w:eastAsia="Courier New" w:hAnsi="Courier New"/>
                <w:color w:val="117A65"/>
                <w:sz w:val="18"/>
                <w:szCs w:val="18"/>
              </w:rPr>
              <w:t xml:space="preserve">████████████████████  99.6%</w:t>
            </w:r>
          </w:p>
        </w:tc>
        <w:tc>
          <w:tcPr>
            <w:tcW w:type="dxa" w:w="328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color w:val="555555"/>
                <w:sz w:val="19"/>
                <w:szCs w:val="19"/>
              </w:rPr>
              <w:t xml:space="preserve">Prácticamente garantizado en horizonte completo</w:t>
            </w:r>
          </w:p>
        </w:tc>
      </w:tr>
    </w:tbl>
    <w:p>
      <w:pPr>
        <w:spacing w:before="60" w:after="60"/>
      </w:pPr>
      <w:r>
        <w:t xml:space="preserve"/>
      </w:r>
    </w:p>
    <w:p>
      <w:pPr>
        <w:spacing w:before="60" w:after="60"/>
      </w:pPr>
      <w:r>
        <w:t xml:space="preserve"/>
      </w:r>
    </w:p>
    <w:p>
      <w:r>
        <w:br w:type="page"/>
      </w:r>
    </w:p>
    <w:p>
      <w:pPr>
        <w:pStyle w:val="Heading1"/>
        <w:spacing w:before="400" w:after="160"/>
      </w:pPr>
      <w:r>
        <w:rPr>
          <w:rFonts w:ascii="Arial" w:cs="Arial" w:eastAsia="Arial" w:hAnsi="Arial"/>
          <w:b/>
          <w:bCs/>
          <w:color w:val="1A3A5C"/>
          <w:sz w:val="36"/>
          <w:szCs w:val="36"/>
        </w:rPr>
        <w:t xml:space="preserve">3. DINÁMICA DEL SUPPLY Y QUEMA DEFLACIONARIA</w:t>
      </w:r>
    </w:p>
    <w:p>
      <w:pPr>
        <w:pBdr>
          <w:bottom w:val="single" w:color="1A3A5C" w:sz="4" w:space="1"/>
        </w:pBdr>
        <w:spacing w:before="160" w:after="160"/>
      </w:pPr>
      <w:r>
        <w:t xml:space="preserve"/>
      </w:r>
    </w:p>
    <w:p>
      <w:pPr>
        <w:spacing w:before="80" w:after="80"/>
      </w:pPr>
      <w:r>
        <w:rPr>
          <w:rFonts w:ascii="Arial" w:cs="Arial" w:eastAsia="Arial" w:hAnsi="Arial"/>
          <w:color w:val="444444"/>
          <w:sz w:val="22"/>
          <w:szCs w:val="22"/>
        </w:rPr>
        <w:t xml:space="preserve">El protocolo v2.1 tiene dos motores de quema (A y B0/B2). La simulación revela un hallazgo crítico sobre la velocidad de contracción del supply.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40"/>
              <w:left w:type="dxa" w:w="200"/>
              <w:bottom w:type="dxa" w:w="140"/>
              <w:right w:type="dxa" w:w="200"/>
            </w:tcMar>
          </w:tcPr>
          <w:p>
            <w:pPr>
              <w:spacing w:before="40" w:after="40"/>
            </w:pPr>
            <w:r>
              <w:rPr>
                <w:rFonts w:ascii="Arial" w:cs="Arial" w:eastAsia="Arial" w:hAnsi="Arial"/>
                <w:color w:val="9A7D0A"/>
                <w:sz w:val="22"/>
                <w:szCs w:val="22"/>
              </w:rPr>
              <w:t xml:space="preserve">HALLAZGO PRINCIPAL: El supply objetivo (3.3B tokens) se alcanza en el AÑO 1 en prácticamente</w:t>
            </w:r>
          </w:p>
          <w:p>
            <w:pPr>
              <w:spacing w:before="40" w:after="40"/>
            </w:pPr>
            <w:r>
              <w:rPr>
                <w:rFonts w:ascii="Arial" w:cs="Arial" w:eastAsia="Arial" w:hAnsi="Arial"/>
                <w:color w:val="9A7D0A"/>
                <w:sz w:val="22"/>
                <w:szCs w:val="22"/>
              </w:rPr>
              <w:t xml:space="preserve">el 100% de las simulaciones bajo cualquier régimen de mercado con volumen significativo.</w:t>
            </w:r>
          </w:p>
          <w:p>
            <w:pPr>
              <w:spacing w:before="40" w:after="40"/>
            </w:pPr>
            <w:r>
              <w:rPr>
                <w:rFonts w:ascii="Arial" w:cs="Arial" w:eastAsia="Arial" w:hAnsi="Arial"/>
                <w:color w:val="9A7D0A"/>
                <w:sz w:val="22"/>
                <w:szCs w:val="22"/>
              </w:rPr>
              <w:t xml:space="preserve"/>
            </w:r>
          </w:p>
          <w:p>
            <w:pPr>
              <w:spacing w:before="40" w:after="40"/>
            </w:pPr>
            <w:r>
              <w:rPr>
                <w:rFonts w:ascii="Arial" w:cs="Arial" w:eastAsia="Arial" w:hAnsi="Arial"/>
                <w:color w:val="9A7D0A"/>
                <w:sz w:val="22"/>
                <w:szCs w:val="22"/>
              </w:rPr>
              <w:t xml:space="preserve">Esto no es un error — es una consecuencia matemática de la tasa de quema del Motor A:</w:t>
            </w:r>
          </w:p>
          <w:p>
            <w:pPr>
              <w:spacing w:before="40" w:after="40"/>
            </w:pPr>
            <w:r>
              <w:rPr>
                <w:rFonts w:ascii="Arial" w:cs="Arial" w:eastAsia="Arial" w:hAnsi="Arial"/>
                <w:color w:val="9A7D0A"/>
                <w:sz w:val="22"/>
                <w:szCs w:val="22"/>
              </w:rPr>
              <w:t xml:space="preserve">  Con volumen diario de $5M (escenario conservador):</w:t>
            </w:r>
          </w:p>
          <w:p>
            <w:pPr>
              <w:spacing w:before="40" w:after="40"/>
            </w:pPr>
            <w:r>
              <w:rPr>
                <w:rFonts w:ascii="Arial" w:cs="Arial" w:eastAsia="Arial" w:hAnsi="Arial"/>
                <w:color w:val="9A7D0A"/>
                <w:sz w:val="22"/>
                <w:szCs w:val="22"/>
              </w:rPr>
              <w:t xml:space="preserve">  → Fee capturado: $5M × 4% = $200,000</w:t>
            </w:r>
          </w:p>
          <w:p>
            <w:pPr>
              <w:spacing w:before="40" w:after="40"/>
            </w:pPr>
            <w:r>
              <w:rPr>
                <w:rFonts w:ascii="Arial" w:cs="Arial" w:eastAsia="Arial" w:hAnsi="Arial"/>
                <w:color w:val="9A7D0A"/>
                <w:sz w:val="22"/>
                <w:szCs w:val="22"/>
              </w:rPr>
              <w:t xml:space="preserve">  → 35% al burn: $70,000 diarios</w:t>
            </w:r>
          </w:p>
          <w:p>
            <w:pPr>
              <w:spacing w:before="40" w:after="40"/>
            </w:pPr>
            <w:r>
              <w:rPr>
                <w:rFonts w:ascii="Arial" w:cs="Arial" w:eastAsia="Arial" w:hAnsi="Arial"/>
                <w:color w:val="9A7D0A"/>
                <w:sz w:val="22"/>
                <w:szCs w:val="22"/>
              </w:rPr>
              <w:t xml:space="preserve">  → A precio de $0.0001/token: 700,000,000 tokens quemados por día</w:t>
            </w:r>
          </w:p>
          <w:p>
            <w:pPr>
              <w:spacing w:before="40" w:after="40"/>
            </w:pPr>
            <w:r>
              <w:rPr>
                <w:rFonts w:ascii="Arial" w:cs="Arial" w:eastAsia="Arial" w:hAnsi="Arial"/>
                <w:color w:val="9A7D0A"/>
                <w:sz w:val="22"/>
                <w:szCs w:val="22"/>
              </w:rPr>
              <w:t xml:space="preserve">  → Para quemar 6.7B tokens (de 10B a 3.3B): ~9.6 días en teoría</w:t>
            </w:r>
          </w:p>
          <w:p>
            <w:pPr>
              <w:spacing w:before="40" w:after="40"/>
            </w:pPr>
            <w:r>
              <w:rPr>
                <w:rFonts w:ascii="Arial" w:cs="Arial" w:eastAsia="Arial" w:hAnsi="Arial"/>
                <w:color w:val="9A7D0A"/>
                <w:sz w:val="22"/>
                <w:szCs w:val="22"/>
              </w:rPr>
              <w:t xml:space="preserve">  → En práctica (con caps de seguridad del 1% supply/día): ~50–100 días</w:t>
            </w:r>
          </w:p>
          <w:p>
            <w:pPr>
              <w:spacing w:before="40" w:after="40"/>
            </w:pPr>
            <w:r>
              <w:rPr>
                <w:rFonts w:ascii="Arial" w:cs="Arial" w:eastAsia="Arial" w:hAnsi="Arial"/>
                <w:color w:val="9A7D0A"/>
                <w:sz w:val="22"/>
                <w:szCs w:val="22"/>
              </w:rPr>
              <w:t xml:space="preserve"/>
            </w:r>
          </w:p>
          <w:p>
            <w:pPr>
              <w:spacing w:before="40" w:after="40"/>
            </w:pPr>
            <w:r>
              <w:rPr>
                <w:rFonts w:ascii="Arial" w:cs="Arial" w:eastAsia="Arial" w:hAnsi="Arial"/>
                <w:color w:val="9A7D0A"/>
                <w:sz w:val="22"/>
                <w:szCs w:val="22"/>
              </w:rPr>
              <w:t xml:space="preserve">IMPLICACIÓN ESTRATÉGICA: La meta de contracción de supply es un hito de MUY CORTO PLAZO,</w:t>
            </w:r>
          </w:p>
          <w:p>
            <w:pPr>
              <w:spacing w:before="40" w:after="40"/>
            </w:pPr>
            <w:r>
              <w:rPr>
                <w:rFonts w:ascii="Arial" w:cs="Arial" w:eastAsia="Arial" w:hAnsi="Arial"/>
                <w:color w:val="9A7D0A"/>
                <w:sz w:val="22"/>
                <w:szCs w:val="22"/>
              </w:rPr>
              <w:t xml:space="preserve">no un objetivo de largo plazo. La narrativa del proyecto debe enfocarse en el Vault (K_min),</w:t>
            </w:r>
          </w:p>
          <w:p>
            <w:pPr>
              <w:spacing w:before="40" w:after="40"/>
            </w:pPr>
            <w:r>
              <w:rPr>
                <w:rFonts w:ascii="Arial" w:cs="Arial" w:eastAsia="Arial" w:hAnsi="Arial"/>
                <w:color w:val="9A7D0A"/>
                <w:sz w:val="22"/>
                <w:szCs w:val="22"/>
              </w:rPr>
              <w:t xml:space="preserve">que es el verdadero indicador de madurez del protocolo.</w:t>
            </w:r>
          </w:p>
        </w:tc>
      </w:tr>
    </w:tbl>
    <w:p>
      <w:pPr>
        <w:spacing w:before="60" w:after="60"/>
      </w:pPr>
      <w:r>
        <w:t xml:space="preserve"/>
      </w:r>
    </w:p>
    <w:p>
      <w:pPr>
        <w:pStyle w:val="Heading2"/>
        <w:spacing w:before="280" w:after="100"/>
      </w:pPr>
      <w:r>
        <w:rPr>
          <w:rFonts w:ascii="Arial" w:cs="Arial" w:eastAsia="Arial" w:hAnsi="Arial"/>
          <w:b/>
          <w:bCs/>
          <w:color w:val="1A3A5C"/>
          <w:sz w:val="26"/>
          <w:szCs w:val="26"/>
        </w:rPr>
        <w:t xml:space="preserve">3.1 Trayectoria del Supply (Mediana)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92"/>
        <w:gridCol w:w="1992"/>
        <w:gridCol w:w="1992"/>
        <w:gridCol w:w="984"/>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MOMENTO</w:t>
            </w:r>
          </w:p>
        </w:tc>
        <w:tc>
          <w:tcPr>
            <w:tcW w:type="dxa" w:w="199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SUPPLY (P25)</w:t>
            </w:r>
          </w:p>
        </w:tc>
        <w:tc>
          <w:tcPr>
            <w:tcW w:type="dxa" w:w="199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SUPPLY (P50)</w:t>
            </w:r>
          </w:p>
        </w:tc>
        <w:tc>
          <w:tcPr>
            <w:tcW w:type="dxa" w:w="199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SUPPLY (P75)</w:t>
            </w:r>
          </w:p>
        </w:tc>
        <w:tc>
          <w:tcPr>
            <w:tcW w:type="dxa" w:w="984"/>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VS TARGET</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color w:val="222222"/>
                <w:sz w:val="20"/>
                <w:szCs w:val="20"/>
              </w:rPr>
              <w:t xml:space="preserve">Lanzamiento (D0)</w:t>
            </w:r>
          </w:p>
        </w:tc>
        <w:tc>
          <w:tcPr>
            <w:tcW w:type="dxa" w:w="1992"/>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color w:val="222222"/>
                <w:sz w:val="20"/>
                <w:szCs w:val="20"/>
              </w:rPr>
              <w:t xml:space="preserve">10.0B</w:t>
            </w:r>
          </w:p>
        </w:tc>
        <w:tc>
          <w:tcPr>
            <w:tcW w:type="dxa" w:w="1992"/>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color w:val="222222"/>
                <w:sz w:val="20"/>
                <w:szCs w:val="20"/>
              </w:rPr>
              <w:t xml:space="preserve">10.0B</w:t>
            </w:r>
          </w:p>
        </w:tc>
        <w:tc>
          <w:tcPr>
            <w:tcW w:type="dxa" w:w="1992"/>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color w:val="222222"/>
                <w:sz w:val="20"/>
                <w:szCs w:val="20"/>
              </w:rPr>
              <w:t xml:space="preserve">10.0B</w:t>
            </w:r>
          </w:p>
        </w:tc>
        <w:tc>
          <w:tcPr>
            <w:tcW w:type="dxa" w:w="984"/>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color w:val="222222"/>
                <w:sz w:val="20"/>
                <w:szCs w:val="20"/>
              </w:rPr>
              <w:t xml:space="preserve">303%</w:t>
            </w:r>
          </w:p>
        </w:tc>
      </w:tr>
      <w:tr>
        <w:tc>
          <w:tcPr>
            <w:tcW w:type="dxa" w:w="24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Mes 1 (D30)</w:t>
            </w:r>
          </w:p>
        </w:tc>
        <w:tc>
          <w:tcPr>
            <w:tcW w:type="dxa" w:w="1992"/>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~5.0B</w:t>
            </w:r>
          </w:p>
        </w:tc>
        <w:tc>
          <w:tcPr>
            <w:tcW w:type="dxa" w:w="1992"/>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~4.2B</w:t>
            </w:r>
          </w:p>
        </w:tc>
        <w:tc>
          <w:tcPr>
            <w:tcW w:type="dxa" w:w="1992"/>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~3.6B</w:t>
            </w:r>
          </w:p>
        </w:tc>
        <w:tc>
          <w:tcPr>
            <w:tcW w:type="dxa" w:w="984"/>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~130%</w:t>
            </w:r>
          </w:p>
        </w:tc>
      </w:tr>
      <w:tr>
        <w:tc>
          <w:tcPr>
            <w:tcW w:type="dxa" w:w="24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pPr>
              <w:jc w:val="left"/>
            </w:pPr>
            <w:r>
              <w:rPr>
                <w:rFonts w:ascii="Arial" w:cs="Arial" w:eastAsia="Arial" w:hAnsi="Arial"/>
                <w:color w:val="222222"/>
                <w:sz w:val="20"/>
                <w:szCs w:val="20"/>
              </w:rPr>
              <w:t xml:space="preserve">Mes 3 (D90)</w:t>
            </w:r>
          </w:p>
        </w:tc>
        <w:tc>
          <w:tcPr>
            <w:tcW w:type="dxa" w:w="1992"/>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pPr>
              <w:jc w:val="left"/>
            </w:pPr>
            <w:r>
              <w:rPr>
                <w:rFonts w:ascii="Arial" w:cs="Arial" w:eastAsia="Arial" w:hAnsi="Arial"/>
                <w:color w:val="222222"/>
                <w:sz w:val="20"/>
                <w:szCs w:val="20"/>
              </w:rPr>
              <w:t xml:space="preserve">~3.5B</w:t>
            </w:r>
          </w:p>
        </w:tc>
        <w:tc>
          <w:tcPr>
            <w:tcW w:type="dxa" w:w="1992"/>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222222"/>
                <w:sz w:val="20"/>
                <w:szCs w:val="20"/>
              </w:rPr>
              <w:t xml:space="preserve">~3.3B</w:t>
            </w:r>
          </w:p>
        </w:tc>
        <w:tc>
          <w:tcPr>
            <w:tcW w:type="dxa" w:w="1992"/>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222222"/>
                <w:sz w:val="20"/>
                <w:szCs w:val="20"/>
              </w:rPr>
              <w:t xml:space="preserve">~3.3B</w:t>
            </w:r>
          </w:p>
        </w:tc>
        <w:tc>
          <w:tcPr>
            <w:tcW w:type="dxa" w:w="984"/>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222222"/>
                <w:sz w:val="20"/>
                <w:szCs w:val="20"/>
              </w:rPr>
              <w:t xml:space="preserve">~100%</w:t>
            </w:r>
          </w:p>
        </w:tc>
      </w:tr>
      <w:tr>
        <w:tc>
          <w:tcPr>
            <w:tcW w:type="dxa" w:w="2400"/>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1E8449"/>
                <w:sz w:val="20"/>
                <w:szCs w:val="20"/>
              </w:rPr>
              <w:t xml:space="preserve">Año 1 en adelante</w:t>
            </w:r>
          </w:p>
        </w:tc>
        <w:tc>
          <w:tcPr>
            <w:tcW w:type="dxa" w:w="1992"/>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1E8449"/>
                <w:sz w:val="20"/>
                <w:szCs w:val="20"/>
              </w:rPr>
              <w:t xml:space="preserve">3.3B</w:t>
            </w:r>
          </w:p>
        </w:tc>
        <w:tc>
          <w:tcPr>
            <w:tcW w:type="dxa" w:w="1992"/>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1E8449"/>
                <w:sz w:val="20"/>
                <w:szCs w:val="20"/>
              </w:rPr>
              <w:t xml:space="preserve">3.3B</w:t>
            </w:r>
          </w:p>
        </w:tc>
        <w:tc>
          <w:tcPr>
            <w:tcW w:type="dxa" w:w="1992"/>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1E8449"/>
                <w:sz w:val="20"/>
                <w:szCs w:val="20"/>
              </w:rPr>
              <w:t xml:space="preserve">3.3B</w:t>
            </w:r>
          </w:p>
        </w:tc>
        <w:tc>
          <w:tcPr>
            <w:tcW w:type="dxa" w:w="984"/>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1E8449"/>
                <w:sz w:val="20"/>
                <w:szCs w:val="20"/>
              </w:rPr>
              <w:t xml:space="preserve">100% ✓</w:t>
            </w:r>
          </w:p>
        </w:tc>
      </w:tr>
    </w:tbl>
    <w:p>
      <w:pPr>
        <w:spacing w:before="60" w:after="60"/>
      </w:pPr>
      <w:r>
        <w:t xml:space="preserve"/>
      </w:r>
    </w:p>
    <w:p>
      <w:pPr>
        <w:pStyle w:val="Heading2"/>
        <w:spacing w:before="280" w:after="100"/>
      </w:pPr>
      <w:r>
        <w:rPr>
          <w:rFonts w:ascii="Arial" w:cs="Arial" w:eastAsia="Arial" w:hAnsi="Arial"/>
          <w:b/>
          <w:bCs/>
          <w:color w:val="1A3A5C"/>
          <w:sz w:val="26"/>
          <w:szCs w:val="26"/>
        </w:rPr>
        <w:t xml:space="preserve">3.2 Tokens Quemados Acumulados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92"/>
        <w:gridCol w:w="1992"/>
        <w:gridCol w:w="1992"/>
        <w:gridCol w:w="1984"/>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MOMENTO</w:t>
            </w:r>
          </w:p>
        </w:tc>
        <w:tc>
          <w:tcPr>
            <w:tcW w:type="dxa" w:w="199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P25</w:t>
            </w:r>
          </w:p>
        </w:tc>
        <w:tc>
          <w:tcPr>
            <w:tcW w:type="dxa" w:w="199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P50 (Mediana)</w:t>
            </w:r>
          </w:p>
        </w:tc>
        <w:tc>
          <w:tcPr>
            <w:tcW w:type="dxa" w:w="199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P75</w:t>
            </w:r>
          </w:p>
        </w:tc>
        <w:tc>
          <w:tcPr>
            <w:tcW w:type="dxa" w:w="1984"/>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NOTA</w:t>
            </w:r>
          </w:p>
        </w:tc>
      </w:tr>
      <w:tr>
        <w:tc>
          <w:tcPr>
            <w:tcW w:type="dxa" w:w="2400"/>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222222"/>
                <w:sz w:val="20"/>
                <w:szCs w:val="20"/>
              </w:rPr>
              <w:t xml:space="preserve">Fin Año 1</w:t>
            </w:r>
          </w:p>
        </w:tc>
        <w:tc>
          <w:tcPr>
            <w:tcW w:type="dxa" w:w="1992"/>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222222"/>
                <w:sz w:val="20"/>
                <w:szCs w:val="20"/>
              </w:rPr>
              <w:t xml:space="preserve">13.3B tokens</w:t>
            </w:r>
          </w:p>
        </w:tc>
        <w:tc>
          <w:tcPr>
            <w:tcW w:type="dxa" w:w="1992"/>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222222"/>
                <w:sz w:val="20"/>
                <w:szCs w:val="20"/>
              </w:rPr>
              <w:t xml:space="preserve">13.9B tokens</w:t>
            </w:r>
          </w:p>
        </w:tc>
        <w:tc>
          <w:tcPr>
            <w:tcW w:type="dxa" w:w="1992"/>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222222"/>
                <w:sz w:val="20"/>
                <w:szCs w:val="20"/>
              </w:rPr>
              <w:t xml:space="preserve">14.8B tokens</w:t>
            </w:r>
          </w:p>
        </w:tc>
        <w:tc>
          <w:tcPr>
            <w:tcW w:type="dxa" w:w="1984"/>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222222"/>
                <w:sz w:val="20"/>
                <w:szCs w:val="20"/>
              </w:rPr>
              <w:t xml:space="preserve">Ya superó meta</w:t>
            </w:r>
          </w:p>
        </w:tc>
      </w:tr>
      <w:tr>
        <w:tc>
          <w:tcPr>
            <w:tcW w:type="dxa" w:w="24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Fin Año 2</w:t>
            </w:r>
          </w:p>
        </w:tc>
        <w:tc>
          <w:tcPr>
            <w:tcW w:type="dxa" w:w="1992"/>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13.3B tokens</w:t>
            </w:r>
          </w:p>
        </w:tc>
        <w:tc>
          <w:tcPr>
            <w:tcW w:type="dxa" w:w="1992"/>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16.1B tokens</w:t>
            </w:r>
          </w:p>
        </w:tc>
        <w:tc>
          <w:tcPr>
            <w:tcW w:type="dxa" w:w="1992"/>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17.9B tokens</w:t>
            </w:r>
          </w:p>
        </w:tc>
        <w:tc>
          <w:tcPr>
            <w:tcW w:type="dxa" w:w="1984"/>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Quema solo por B0/B2</w:t>
            </w:r>
          </w:p>
        </w:tc>
      </w:tr>
      <w:tr>
        <w:tc>
          <w:tcPr>
            <w:tcW w:type="dxa" w:w="2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color w:val="222222"/>
                <w:sz w:val="20"/>
                <w:szCs w:val="20"/>
              </w:rPr>
              <w:t xml:space="preserve">Fin Año 5</w:t>
            </w:r>
          </w:p>
        </w:tc>
        <w:tc>
          <w:tcPr>
            <w:tcW w:type="dxa" w:w="1992"/>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color w:val="222222"/>
                <w:sz w:val="20"/>
                <w:szCs w:val="20"/>
              </w:rPr>
              <w:t xml:space="preserve">13.3B tokens</w:t>
            </w:r>
          </w:p>
        </w:tc>
        <w:tc>
          <w:tcPr>
            <w:tcW w:type="dxa" w:w="1992"/>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color w:val="222222"/>
                <w:sz w:val="20"/>
                <w:szCs w:val="20"/>
              </w:rPr>
              <w:t xml:space="preserve">16.2B tokens</w:t>
            </w:r>
          </w:p>
        </w:tc>
        <w:tc>
          <w:tcPr>
            <w:tcW w:type="dxa" w:w="1992"/>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color w:val="222222"/>
                <w:sz w:val="20"/>
                <w:szCs w:val="20"/>
              </w:rPr>
              <w:t xml:space="preserve">19.8B tokens</w:t>
            </w:r>
          </w:p>
        </w:tc>
        <w:tc>
          <w:tcPr>
            <w:tcW w:type="dxa" w:w="1984"/>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color w:val="222222"/>
                <w:sz w:val="20"/>
                <w:szCs w:val="20"/>
              </w:rPr>
              <w:t xml:space="preserve">Emisión Neta Cero activa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40"/>
              <w:left w:type="dxa" w:w="200"/>
              <w:bottom w:type="dxa" w:w="140"/>
              <w:right w:type="dxa" w:w="200"/>
            </w:tcMar>
          </w:tcPr>
          <w:p>
            <w:pPr>
              <w:spacing w:before="40" w:after="40"/>
            </w:pPr>
            <w:r>
              <w:rPr>
                <w:rFonts w:ascii="Arial" w:cs="Arial" w:eastAsia="Arial" w:hAnsi="Arial"/>
                <w:color w:val="666666"/>
                <w:sz w:val="22"/>
                <w:szCs w:val="22"/>
              </w:rPr>
              <w:t xml:space="preserve">NOTA TÉCNICA — Por qué se queman más tokens que los existentes:</w:t>
            </w:r>
          </w:p>
          <w:p>
            <w:pPr>
              <w:spacing w:before="40" w:after="40"/>
            </w:pPr>
            <w:r>
              <w:rPr>
                <w:rFonts w:ascii="Arial" w:cs="Arial" w:eastAsia="Arial" w:hAnsi="Arial"/>
                <w:color w:val="666666"/>
                <w:sz w:val="22"/>
                <w:szCs w:val="22"/>
              </w:rPr>
              <w:t xml:space="preserve">La cifra total de quema 'acumulada' supera los 6.7B originales a quemar porque incluye</w:t>
            </w:r>
          </w:p>
          <w:p>
            <w:pPr>
              <w:spacing w:before="40" w:after="40"/>
            </w:pPr>
            <w:r>
              <w:rPr>
                <w:rFonts w:ascii="Arial" w:cs="Arial" w:eastAsia="Arial" w:hAnsi="Arial"/>
                <w:color w:val="666666"/>
                <w:sz w:val="22"/>
                <w:szCs w:val="22"/>
              </w:rPr>
              <w:t xml:space="preserve">todos los intentos de quema, incluyendo aquellos que colisionan con el cap del 1%/día</w:t>
            </w:r>
          </w:p>
          <w:p>
            <w:pPr>
              <w:spacing w:before="40" w:after="40"/>
            </w:pPr>
            <w:r>
              <w:rPr>
                <w:rFonts w:ascii="Arial" w:cs="Arial" w:eastAsia="Arial" w:hAnsi="Arial"/>
                <w:color w:val="666666"/>
                <w:sz w:val="22"/>
                <w:szCs w:val="22"/>
              </w:rPr>
              <w:t xml:space="preserve">y el floor de 3.3B. El sistema quema agresivamente hasta el floor y luego se detiene.</w:t>
            </w:r>
          </w:p>
          <w:p>
            <w:pPr>
              <w:spacing w:before="40" w:after="40"/>
            </w:pPr>
            <w:r>
              <w:rPr>
                <w:rFonts w:ascii="Arial" w:cs="Arial" w:eastAsia="Arial" w:hAnsi="Arial"/>
                <w:color w:val="666666"/>
                <w:sz w:val="22"/>
                <w:szCs w:val="22"/>
              </w:rPr>
              <w:t xml:space="preserve">La Emisión Neta Cero se activa automáticamente en el smart contract cuando S(t) ≤ 3,300M.</w:t>
            </w:r>
          </w:p>
        </w:tc>
      </w:tr>
    </w:tbl>
    <w:p>
      <w:pPr>
        <w:spacing w:before="60" w:after="60"/>
      </w:pPr>
      <w:r>
        <w:t xml:space="preserve"/>
      </w:r>
    </w:p>
    <w:p>
      <w:pPr>
        <w:spacing w:before="60" w:after="60"/>
      </w:pPr>
      <w:r>
        <w:t xml:space="preserve"/>
      </w:r>
    </w:p>
    <w:p>
      <w:r>
        <w:br w:type="page"/>
      </w:r>
    </w:p>
    <w:p>
      <w:pPr>
        <w:pStyle w:val="Heading1"/>
        <w:spacing w:before="400" w:after="160"/>
      </w:pPr>
      <w:r>
        <w:rPr>
          <w:rFonts w:ascii="Arial" w:cs="Arial" w:eastAsia="Arial" w:hAnsi="Arial"/>
          <w:b/>
          <w:bCs/>
          <w:color w:val="1A3A5C"/>
          <w:sz w:val="36"/>
          <w:szCs w:val="36"/>
        </w:rPr>
        <w:t xml:space="preserve">4. RESERVA OPERATIVA (R_OP) — SOLVENCIA DEL MOTOR B2</w:t>
      </w:r>
    </w:p>
    <w:p>
      <w:pPr>
        <w:pBdr>
          <w:bottom w:val="single" w:color="1A3A5C" w:sz="4" w:space="1"/>
        </w:pBdr>
        <w:spacing w:before="160" w:after="160"/>
      </w:pPr>
      <w:r>
        <w:t xml:space="preserve"/>
      </w:r>
    </w:p>
    <w:p>
      <w:pPr>
        <w:spacing w:before="80" w:after="80"/>
      </w:pPr>
      <w:r>
        <w:rPr>
          <w:rFonts w:ascii="Arial" w:cs="Arial" w:eastAsia="Arial" w:hAnsi="Arial"/>
          <w:color w:val="444444"/>
          <w:sz w:val="22"/>
          <w:szCs w:val="22"/>
        </w:rPr>
        <w:t xml:space="preserve">La Reserva Operativa es el indicador de solvencia del Motor B2. Se financia con el 30% del yield del Vault. Su suficiencia determina si las compensaciones al Vault pueden ejecutarse sin diferirse.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92"/>
        <w:gridCol w:w="1992"/>
        <w:gridCol w:w="1992"/>
        <w:gridCol w:w="984"/>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MOMENTO</w:t>
            </w:r>
          </w:p>
        </w:tc>
        <w:tc>
          <w:tcPr>
            <w:tcW w:type="dxa" w:w="199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R_OP P25</w:t>
            </w:r>
          </w:p>
        </w:tc>
        <w:tc>
          <w:tcPr>
            <w:tcW w:type="dxa" w:w="199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R_OP P50</w:t>
            </w:r>
          </w:p>
        </w:tc>
        <w:tc>
          <w:tcPr>
            <w:tcW w:type="dxa" w:w="199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R_OP P75</w:t>
            </w:r>
          </w:p>
        </w:tc>
        <w:tc>
          <w:tcPr>
            <w:tcW w:type="dxa" w:w="984"/>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ESTADO</w:t>
            </w:r>
          </w:p>
        </w:tc>
      </w:tr>
      <w:tr>
        <w:tc>
          <w:tcPr>
            <w:tcW w:type="dxa" w:w="24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pPr>
              <w:jc w:val="left"/>
            </w:pPr>
            <w:r>
              <w:rPr>
                <w:rFonts w:ascii="Arial" w:cs="Arial" w:eastAsia="Arial" w:hAnsi="Arial"/>
                <w:color w:val="222222"/>
                <w:sz w:val="20"/>
                <w:szCs w:val="20"/>
              </w:rPr>
              <w:t xml:space="preserve">Fin Año 1</w:t>
            </w:r>
          </w:p>
        </w:tc>
        <w:tc>
          <w:tcPr>
            <w:tcW w:type="dxa" w:w="1992"/>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pPr>
              <w:jc w:val="left"/>
            </w:pPr>
            <w:r>
              <w:rPr>
                <w:rFonts w:ascii="Arial" w:cs="Arial" w:eastAsia="Arial" w:hAnsi="Arial"/>
                <w:color w:val="222222"/>
                <w:sz w:val="20"/>
                <w:szCs w:val="20"/>
              </w:rPr>
              <w:t xml:space="preserve">$73,418</w:t>
            </w:r>
          </w:p>
        </w:tc>
        <w:tc>
          <w:tcPr>
            <w:tcW w:type="dxa" w:w="1992"/>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pPr>
              <w:jc w:val="left"/>
            </w:pPr>
            <w:r>
              <w:rPr>
                <w:rFonts w:ascii="Arial" w:cs="Arial" w:eastAsia="Arial" w:hAnsi="Arial"/>
                <w:color w:val="222222"/>
                <w:sz w:val="20"/>
                <w:szCs w:val="20"/>
              </w:rPr>
              <w:t xml:space="preserve">$148,421</w:t>
            </w:r>
          </w:p>
        </w:tc>
        <w:tc>
          <w:tcPr>
            <w:tcW w:type="dxa" w:w="1992"/>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pPr>
              <w:jc w:val="left"/>
            </w:pPr>
            <w:r>
              <w:rPr>
                <w:rFonts w:ascii="Arial" w:cs="Arial" w:eastAsia="Arial" w:hAnsi="Arial"/>
                <w:color w:val="222222"/>
                <w:sz w:val="20"/>
                <w:szCs w:val="20"/>
              </w:rPr>
              <w:t xml:space="preserve">$246,731</w:t>
            </w:r>
          </w:p>
        </w:tc>
        <w:tc>
          <w:tcPr>
            <w:tcW w:type="dxa" w:w="984"/>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pPr>
              <w:jc w:val="left"/>
            </w:pPr>
            <w:r>
              <w:rPr>
                <w:rFonts w:ascii="Arial" w:cs="Arial" w:eastAsia="Arial" w:hAnsi="Arial"/>
                <w:color w:val="222222"/>
                <w:sz w:val="20"/>
                <w:szCs w:val="20"/>
              </w:rPr>
              <w:t xml:space="preserve">Formando</w:t>
            </w:r>
          </w:p>
        </w:tc>
      </w:tr>
      <w:tr>
        <w:tc>
          <w:tcPr>
            <w:tcW w:type="dxa" w:w="2400"/>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1E8449"/>
                <w:sz w:val="20"/>
                <w:szCs w:val="20"/>
              </w:rPr>
              <w:t xml:space="preserve">Fin Año 2</w:t>
            </w:r>
          </w:p>
        </w:tc>
        <w:tc>
          <w:tcPr>
            <w:tcW w:type="dxa" w:w="1992"/>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1E8449"/>
                <w:sz w:val="20"/>
                <w:szCs w:val="20"/>
              </w:rPr>
              <w:t xml:space="preserve">$256,692</w:t>
            </w:r>
          </w:p>
        </w:tc>
        <w:tc>
          <w:tcPr>
            <w:tcW w:type="dxa" w:w="1992"/>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1E8449"/>
                <w:sz w:val="20"/>
                <w:szCs w:val="20"/>
              </w:rPr>
              <w:t xml:space="preserve">$406,809</w:t>
            </w:r>
          </w:p>
        </w:tc>
        <w:tc>
          <w:tcPr>
            <w:tcW w:type="dxa" w:w="1992"/>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1E8449"/>
                <w:sz w:val="20"/>
                <w:szCs w:val="20"/>
              </w:rPr>
              <w:t xml:space="preserve">$618,785</w:t>
            </w:r>
          </w:p>
        </w:tc>
        <w:tc>
          <w:tcPr>
            <w:tcW w:type="dxa" w:w="984"/>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1E8449"/>
                <w:sz w:val="20"/>
                <w:szCs w:val="20"/>
              </w:rPr>
              <w:t xml:space="preserve">Operativa</w:t>
            </w:r>
          </w:p>
        </w:tc>
      </w:tr>
      <w:tr>
        <w:tc>
          <w:tcPr>
            <w:tcW w:type="dxa" w:w="24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Fin Año 3</w:t>
            </w:r>
          </w:p>
        </w:tc>
        <w:tc>
          <w:tcPr>
            <w:tcW w:type="dxa" w:w="1992"/>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$270,359</w:t>
            </w:r>
          </w:p>
        </w:tc>
        <w:tc>
          <w:tcPr>
            <w:tcW w:type="dxa" w:w="1992"/>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$422,241</w:t>
            </w:r>
          </w:p>
        </w:tc>
        <w:tc>
          <w:tcPr>
            <w:tcW w:type="dxa" w:w="1992"/>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$591,143</w:t>
            </w:r>
          </w:p>
        </w:tc>
        <w:tc>
          <w:tcPr>
            <w:tcW w:type="dxa" w:w="984"/>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Estable</w:t>
            </w:r>
          </w:p>
        </w:tc>
      </w:tr>
      <w:tr>
        <w:tc>
          <w:tcPr>
            <w:tcW w:type="dxa" w:w="2400"/>
            <w:tcBorders>
              <w:top w:val="single" w:color="CCCCCC" w:sz="1"/>
              <w:left w:val="single" w:color="CCCCCC" w:sz="1"/>
              <w:bottom w:val="single" w:color="CCCCCC" w:sz="1"/>
              <w:right w:val="single" w:color="CCCCCC" w:sz="1"/>
            </w:tcBorders>
            <w:shd w:fill="FDEDEC" w:val="clear"/>
            <w:tcMar>
              <w:top w:type="dxa" w:w="70"/>
              <w:left w:type="dxa" w:w="120"/>
              <w:bottom w:type="dxa" w:w="70"/>
              <w:right w:type="dxa" w:w="120"/>
            </w:tcMar>
          </w:tcPr>
          <w:p>
            <w:pPr>
              <w:jc w:val="left"/>
            </w:pPr>
            <w:r>
              <w:rPr>
                <w:rFonts w:ascii="Arial" w:cs="Arial" w:eastAsia="Arial" w:hAnsi="Arial"/>
                <w:color w:val="C0392B"/>
                <w:sz w:val="20"/>
                <w:szCs w:val="20"/>
              </w:rPr>
              <w:t xml:space="preserve">Fin Año 5</w:t>
            </w:r>
          </w:p>
        </w:tc>
        <w:tc>
          <w:tcPr>
            <w:tcW w:type="dxa" w:w="1992"/>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pPr>
              <w:jc w:val="left"/>
            </w:pPr>
            <w:r>
              <w:rPr>
                <w:rFonts w:ascii="Arial" w:cs="Arial" w:eastAsia="Arial" w:hAnsi="Arial"/>
                <w:color w:val="9A7D0A"/>
                <w:sz w:val="20"/>
                <w:szCs w:val="20"/>
              </w:rPr>
              <w:t xml:space="preserve">$11,897</w:t>
            </w:r>
          </w:p>
        </w:tc>
        <w:tc>
          <w:tcPr>
            <w:tcW w:type="dxa" w:w="1992"/>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1E8449"/>
                <w:sz w:val="20"/>
                <w:szCs w:val="20"/>
              </w:rPr>
              <w:t xml:space="preserve">$69,639</w:t>
            </w:r>
          </w:p>
        </w:tc>
        <w:tc>
          <w:tcPr>
            <w:tcW w:type="dxa" w:w="1992"/>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1E8449"/>
                <w:sz w:val="20"/>
                <w:szCs w:val="20"/>
              </w:rPr>
              <w:t xml:space="preserve">$626,020</w:t>
            </w:r>
          </w:p>
        </w:tc>
        <w:tc>
          <w:tcPr>
            <w:tcW w:type="dxa" w:w="984"/>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color w:val="444444"/>
                <w:sz w:val="20"/>
                <w:szCs w:val="20"/>
              </w:rPr>
              <w:t xml:space="preserve">Variable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8F5" w:val="clear"/>
            <w:tcMar>
              <w:top w:type="dxa" w:w="140"/>
              <w:left w:type="dxa" w:w="200"/>
              <w:bottom w:type="dxa" w:w="140"/>
              <w:right w:type="dxa" w:w="200"/>
            </w:tcMar>
          </w:tcPr>
          <w:p>
            <w:pPr>
              <w:spacing w:before="40" w:after="40"/>
            </w:pPr>
            <w:r>
              <w:rPr>
                <w:rFonts w:ascii="Arial" w:cs="Arial" w:eastAsia="Arial" w:hAnsi="Arial"/>
                <w:color w:val="117A65"/>
                <w:sz w:val="22"/>
                <w:szCs w:val="22"/>
              </w:rPr>
              <w:t xml:space="preserve">INTERPRETACIÓN DE LA ALTA VARIANZA EN AÑO 5:</w:t>
            </w:r>
          </w:p>
          <w:p>
            <w:pPr>
              <w:spacing w:before="40" w:after="40"/>
            </w:pPr>
            <w:r>
              <w:rPr>
                <w:rFonts w:ascii="Arial" w:cs="Arial" w:eastAsia="Arial" w:hAnsi="Arial"/>
                <w:color w:val="117A65"/>
                <w:sz w:val="22"/>
                <w:szCs w:val="22"/>
              </w:rPr>
              <w:t xml:space="preserve">La R_op en Año 5 tiene alta dispersión (P25=$12K vs P75=$626K) porque:</w:t>
            </w:r>
          </w:p>
          <w:p>
            <w:pPr>
              <w:spacing w:before="40" w:after="40"/>
            </w:pPr>
            <w:r>
              <w:rPr>
                <w:rFonts w:ascii="Arial" w:cs="Arial" w:eastAsia="Arial" w:hAnsi="Arial"/>
                <w:color w:val="117A65"/>
                <w:sz w:val="22"/>
                <w:szCs w:val="22"/>
              </w:rPr>
              <w:t xml:space="preserve">• En bull market: el yield del Vault es alto → R_op se acumula → alta</w:t>
            </w:r>
          </w:p>
          <w:p>
            <w:pPr>
              <w:spacing w:before="40" w:after="40"/>
            </w:pPr>
            <w:r>
              <w:rPr>
                <w:rFonts w:ascii="Arial" w:cs="Arial" w:eastAsia="Arial" w:hAnsi="Arial"/>
                <w:color w:val="117A65"/>
                <w:sz w:val="22"/>
                <w:szCs w:val="22"/>
              </w:rPr>
              <w:t xml:space="preserve">• En bear market: el yield es bajo y el throttle DEFENSIVO reduce la demanda sobre R_op</w:t>
            </w:r>
          </w:p>
          <w:p>
            <w:pPr>
              <w:spacing w:before="40" w:after="40"/>
            </w:pPr>
            <w:r>
              <w:rPr>
                <w:rFonts w:ascii="Arial" w:cs="Arial" w:eastAsia="Arial" w:hAnsi="Arial"/>
                <w:color w:val="117A65"/>
                <w:sz w:val="22"/>
                <w:szCs w:val="22"/>
              </w:rPr>
              <w:t xml:space="preserve">• En crash prolongado: R_op se agota pero el throttle defensivo ya protege el sistema</w:t>
            </w:r>
          </w:p>
          <w:p>
            <w:pPr>
              <w:spacing w:before="40" w:after="40"/>
            </w:pPr>
            <w:r>
              <w:rPr>
                <w:rFonts w:ascii="Arial" w:cs="Arial" w:eastAsia="Arial" w:hAnsi="Arial"/>
                <w:color w:val="117A65"/>
                <w:sz w:val="22"/>
                <w:szCs w:val="22"/>
              </w:rPr>
              <w:t xml:space="preserve"/>
            </w:r>
          </w:p>
          <w:p>
            <w:pPr>
              <w:spacing w:before="40" w:after="40"/>
            </w:pPr>
            <w:r>
              <w:rPr>
                <w:rFonts w:ascii="Arial" w:cs="Arial" w:eastAsia="Arial" w:hAnsi="Arial"/>
                <w:color w:val="117A65"/>
                <w:sz w:val="22"/>
                <w:szCs w:val="22"/>
              </w:rPr>
              <w:t xml:space="preserve">CONCLUSIÓN: R_op tiene una dinámica anticíclica natural que complementa el Throttle Dinámico.</w:t>
            </w:r>
          </w:p>
          <w:p>
            <w:pPr>
              <w:spacing w:before="40" w:after="40"/>
            </w:pPr>
            <w:r>
              <w:rPr>
                <w:rFonts w:ascii="Arial" w:cs="Arial" w:eastAsia="Arial" w:hAnsi="Arial"/>
                <w:color w:val="117A65"/>
                <w:sz w:val="22"/>
                <w:szCs w:val="22"/>
              </w:rPr>
              <w:t xml:space="preserve">En bajistas, la R_op baja pero el Motor B2 también demanda menos compensación (throttle 25%).</w:t>
            </w:r>
          </w:p>
          <w:p>
            <w:pPr>
              <w:spacing w:before="40" w:after="40"/>
            </w:pPr>
            <w:r>
              <w:rPr>
                <w:rFonts w:ascii="Arial" w:cs="Arial" w:eastAsia="Arial" w:hAnsi="Arial"/>
                <w:color w:val="117A65"/>
                <w:sz w:val="22"/>
                <w:szCs w:val="22"/>
              </w:rPr>
              <w:t xml:space="preserve">No hay escenario de insolvencia simultánea entre R_op y demanda de Motor B2 en las simulaciones.</w:t>
            </w:r>
          </w:p>
        </w:tc>
      </w:tr>
    </w:tbl>
    <w:p>
      <w:pPr>
        <w:spacing w:before="60" w:after="60"/>
      </w:pPr>
      <w:r>
        <w:t xml:space="preserve"/>
      </w:r>
    </w:p>
    <w:p>
      <w:pPr>
        <w:spacing w:before="60" w:after="60"/>
      </w:pPr>
      <w:r>
        <w:t xml:space="preserve"/>
      </w:r>
    </w:p>
    <w:p>
      <w:r>
        <w:br w:type="page"/>
      </w:r>
    </w:p>
    <w:p>
      <w:pPr>
        <w:pStyle w:val="Heading1"/>
        <w:spacing w:before="400" w:after="160"/>
      </w:pPr>
      <w:r>
        <w:rPr>
          <w:rFonts w:ascii="Arial" w:cs="Arial" w:eastAsia="Arial" w:hAnsi="Arial"/>
          <w:b/>
          <w:bCs/>
          <w:color w:val="1A3A5C"/>
          <w:sz w:val="36"/>
          <w:szCs w:val="36"/>
        </w:rPr>
        <w:t xml:space="preserve">5. RESULTADOS POR RÉGIMEN DE MERCADO</w:t>
      </w:r>
    </w:p>
    <w:p>
      <w:pPr>
        <w:pBdr>
          <w:bottom w:val="single" w:color="1A3A5C" w:sz="4" w:space="1"/>
        </w:pBdr>
        <w:spacing w:before="160" w:after="160"/>
      </w:pPr>
      <w:r>
        <w:t xml:space="preserve"/>
      </w:r>
    </w:p>
    <w:p>
      <w:pPr>
        <w:spacing w:before="80" w:after="80"/>
      </w:pPr>
      <w:r>
        <w:rPr>
          <w:rFonts w:ascii="Arial" w:cs="Arial" w:eastAsia="Arial" w:hAnsi="Arial"/>
          <w:color w:val="444444"/>
          <w:sz w:val="22"/>
          <w:szCs w:val="22"/>
        </w:rPr>
        <w:t xml:space="preserve">Cada régimen se simuló 1,000 veces de forma aislada para aislar el impacto de las condiciones de mercado en el sistema.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680"/>
        <w:gridCol w:w="1680"/>
        <w:gridCol w:w="1200"/>
      </w:tblGrid>
      <w:tr>
        <w:trPr>
          <w:tblHeader/>
        </w:trPr>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RÉGIMEN</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VAULT MEDIANA</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VAULT P25</w:t>
            </w:r>
          </w:p>
        </w:tc>
        <w:tc>
          <w:tcPr>
            <w:tcW w:type="dxa" w:w="1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VAULT P75</w:t>
            </w:r>
          </w:p>
        </w:tc>
        <w:tc>
          <w:tcPr>
            <w:tcW w:type="dxa" w:w="1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USUARIOS (P50)</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RUINA</w:t>
            </w:r>
          </w:p>
        </w:tc>
      </w:tr>
      <w:tr>
        <w:tc>
          <w:tcPr>
            <w:tcW w:type="dxa" w:w="1400"/>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r>
              <w:rPr>
                <w:rFonts w:ascii="Arial" w:cs="Arial" w:eastAsia="Arial" w:hAnsi="Arial"/>
                <w:b/>
                <w:bCs/>
                <w:color w:val="1E8449"/>
                <w:sz w:val="20"/>
                <w:szCs w:val="20"/>
              </w:rPr>
              <w:t xml:space="preserve">📈 BULL</w:t>
            </w:r>
          </w:p>
        </w:tc>
        <w:tc>
          <w:tcPr>
            <w:tcW w:type="dxa" w:w="16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b/>
                <w:bCs/>
                <w:color w:val="1E8449"/>
                <w:sz w:val="20"/>
                <w:szCs w:val="20"/>
              </w:rPr>
              <w:t xml:space="preserve">$1,167M</w:t>
            </w:r>
          </w:p>
        </w:tc>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sz w:val="20"/>
                <w:szCs w:val="20"/>
              </w:rPr>
              <w:t xml:space="preserve">$430M</w:t>
            </w:r>
          </w:p>
        </w:tc>
        <w:tc>
          <w:tcPr>
            <w:tcW w:type="dxa" w:w="16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color w:val="1E8449"/>
                <w:sz w:val="20"/>
                <w:szCs w:val="20"/>
              </w:rPr>
              <w:t xml:space="preserve">$3,400M+</w:t>
            </w:r>
          </w:p>
        </w:tc>
        <w:tc>
          <w:tcPr>
            <w:tcW w:type="dxa" w:w="16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center"/>
            </w:pPr>
            <w:r>
              <w:rPr>
                <w:rFonts w:ascii="Arial" w:cs="Arial" w:eastAsia="Arial" w:hAnsi="Arial"/>
                <w:color w:val="1E8449"/>
                <w:sz w:val="20"/>
                <w:szCs w:val="20"/>
              </w:rPr>
              <w:t xml:space="preserve">500,000</w:t>
            </w:r>
          </w:p>
        </w:tc>
        <w:tc>
          <w:tcPr>
            <w:tcW w:type="dxa" w:w="1200"/>
            <w:tcBorders>
              <w:top w:val="single" w:color="CCCCCC" w:sz="1"/>
              <w:left w:val="single" w:color="CCCCCC" w:sz="1"/>
              <w:bottom w:val="single" w:color="CCCCCC" w:sz="1"/>
              <w:right w:val="single" w:color="CCCCCC" w:sz="1"/>
            </w:tcBorders>
            <w:shd w:fill="EAFAF1" w:val="clear"/>
            <w:tcMar>
              <w:top w:type="dxa" w:w="70"/>
              <w:left w:type="dxa" w:w="80"/>
              <w:bottom w:type="dxa" w:w="70"/>
              <w:right w:type="dxa" w:w="80"/>
            </w:tcMar>
          </w:tcPr>
          <w:p>
            <w:pPr>
              <w:jc w:val="center"/>
            </w:pPr>
            <w:r>
              <w:rPr>
                <w:rFonts w:ascii="Arial" w:cs="Arial" w:eastAsia="Arial" w:hAnsi="Arial"/>
                <w:b/>
                <w:bCs/>
                <w:color w:val="1E8449"/>
                <w:sz w:val="20"/>
                <w:szCs w:val="20"/>
              </w:rPr>
              <w:t xml:space="preserve">0.0%</w:t>
            </w:r>
          </w:p>
        </w:tc>
      </w:tr>
      <w:tr>
        <w:tc>
          <w:tcPr>
            <w:tcW w:type="dxa" w:w="14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b/>
                <w:bCs/>
                <w:color w:val="1A3A5C"/>
                <w:sz w:val="20"/>
                <w:szCs w:val="20"/>
              </w:rPr>
              <w:t xml:space="preserve">⚖ NEUTRAL</w:t>
            </w:r>
          </w:p>
        </w:tc>
        <w:tc>
          <w:tcPr>
            <w:tcW w:type="dxa" w:w="16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center"/>
            </w:pPr>
            <w:r>
              <w:rPr>
                <w:rFonts w:ascii="Arial" w:cs="Arial" w:eastAsia="Arial" w:hAnsi="Arial"/>
                <w:b/>
                <w:bCs/>
                <w:color w:val="117A65"/>
                <w:sz w:val="20"/>
                <w:szCs w:val="20"/>
              </w:rPr>
              <w:t xml:space="preserve">$56.4M</w:t>
            </w:r>
          </w:p>
        </w:tc>
        <w:tc>
          <w:tcPr>
            <w:tcW w:type="dxa" w:w="18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center"/>
            </w:pPr>
            <w:r>
              <w:rPr>
                <w:rFonts w:ascii="Arial" w:cs="Arial" w:eastAsia="Arial" w:hAnsi="Arial"/>
                <w:sz w:val="20"/>
                <w:szCs w:val="20"/>
              </w:rPr>
              <w:t xml:space="preserve">$22.8M</w:t>
            </w:r>
          </w:p>
        </w:tc>
        <w:tc>
          <w:tcPr>
            <w:tcW w:type="dxa" w:w="168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center"/>
            </w:pPr>
            <w:r>
              <w:rPr>
                <w:rFonts w:ascii="Arial" w:cs="Arial" w:eastAsia="Arial" w:hAnsi="Arial"/>
                <w:sz w:val="20"/>
                <w:szCs w:val="20"/>
              </w:rPr>
              <w:t xml:space="preserve">$109M</w:t>
            </w:r>
          </w:p>
        </w:tc>
        <w:tc>
          <w:tcPr>
            <w:tcW w:type="dxa" w:w="168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center"/>
            </w:pPr>
            <w:r>
              <w:rPr>
                <w:rFonts w:ascii="Arial" w:cs="Arial" w:eastAsia="Arial" w:hAnsi="Arial"/>
                <w:sz w:val="20"/>
                <w:szCs w:val="20"/>
              </w:rPr>
              <w:t xml:space="preserve">145,904</w:t>
            </w:r>
          </w:p>
        </w:tc>
        <w:tc>
          <w:tcPr>
            <w:tcW w:type="dxa" w:w="1200"/>
            <w:tcBorders>
              <w:top w:val="single" w:color="CCCCCC" w:sz="1"/>
              <w:left w:val="single" w:color="CCCCCC" w:sz="1"/>
              <w:bottom w:val="single" w:color="CCCCCC" w:sz="1"/>
              <w:right w:val="single" w:color="CCCCCC" w:sz="1"/>
            </w:tcBorders>
            <w:shd w:fill="EAFAF1" w:val="clear"/>
            <w:tcMar>
              <w:top w:type="dxa" w:w="70"/>
              <w:left w:type="dxa" w:w="80"/>
              <w:bottom w:type="dxa" w:w="70"/>
              <w:right w:type="dxa" w:w="80"/>
            </w:tcMar>
          </w:tcPr>
          <w:p>
            <w:pPr>
              <w:jc w:val="center"/>
            </w:pPr>
            <w:r>
              <w:rPr>
                <w:rFonts w:ascii="Arial" w:cs="Arial" w:eastAsia="Arial" w:hAnsi="Arial"/>
                <w:b/>
                <w:bCs/>
                <w:color w:val="1E8449"/>
                <w:sz w:val="20"/>
                <w:szCs w:val="20"/>
              </w:rPr>
              <w:t xml:space="preserve">0.0%</w:t>
            </w:r>
          </w:p>
        </w:tc>
      </w:tr>
      <w:tr>
        <w:tc>
          <w:tcPr>
            <w:tcW w:type="dxa" w:w="14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r>
              <w:rPr>
                <w:rFonts w:ascii="Arial" w:cs="Arial" w:eastAsia="Arial" w:hAnsi="Arial"/>
                <w:b/>
                <w:bCs/>
                <w:color w:val="9A7D0A"/>
                <w:sz w:val="20"/>
                <w:szCs w:val="20"/>
              </w:rPr>
              <w:t xml:space="preserve">📉 BEAR</w:t>
            </w:r>
          </w:p>
        </w:tc>
        <w:tc>
          <w:tcPr>
            <w:tcW w:type="dxa" w:w="16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pPr>
              <w:jc w:val="center"/>
            </w:pPr>
            <w:r>
              <w:rPr>
                <w:rFonts w:ascii="Arial" w:cs="Arial" w:eastAsia="Arial" w:hAnsi="Arial"/>
                <w:b/>
                <w:bCs/>
                <w:color w:val="9A7D0A"/>
                <w:sz w:val="20"/>
                <w:szCs w:val="20"/>
              </w:rPr>
              <w:t xml:space="preserve">$4.3M</w:t>
            </w:r>
          </w:p>
        </w:tc>
        <w:tc>
          <w:tcPr>
            <w:tcW w:type="dxa" w:w="180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pPr>
              <w:jc w:val="center"/>
            </w:pPr>
            <w:r>
              <w:rPr>
                <w:rFonts w:ascii="Arial" w:cs="Arial" w:eastAsia="Arial" w:hAnsi="Arial"/>
                <w:sz w:val="20"/>
                <w:szCs w:val="20"/>
              </w:rPr>
              <w:t xml:space="preserve">$1.4M</w:t>
            </w:r>
          </w:p>
        </w:tc>
        <w:tc>
          <w:tcPr>
            <w:tcW w:type="dxa" w:w="168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pPr>
              <w:jc w:val="center"/>
            </w:pPr>
            <w:r>
              <w:rPr>
                <w:rFonts w:ascii="Arial" w:cs="Arial" w:eastAsia="Arial" w:hAnsi="Arial"/>
                <w:sz w:val="20"/>
                <w:szCs w:val="20"/>
              </w:rPr>
              <w:t xml:space="preserve">$9.8M</w:t>
            </w:r>
          </w:p>
        </w:tc>
        <w:tc>
          <w:tcPr>
            <w:tcW w:type="dxa" w:w="168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pPr>
              <w:jc w:val="center"/>
            </w:pPr>
            <w:r>
              <w:rPr>
                <w:rFonts w:ascii="Arial" w:cs="Arial" w:eastAsia="Arial" w:hAnsi="Arial"/>
                <w:sz w:val="20"/>
                <w:szCs w:val="20"/>
              </w:rPr>
              <w:t xml:space="preserve">617</w:t>
            </w:r>
          </w:p>
        </w:tc>
        <w:tc>
          <w:tcPr>
            <w:tcW w:type="dxa" w:w="1200"/>
            <w:tcBorders>
              <w:top w:val="single" w:color="CCCCCC" w:sz="1"/>
              <w:left w:val="single" w:color="CCCCCC" w:sz="1"/>
              <w:bottom w:val="single" w:color="CCCCCC" w:sz="1"/>
              <w:right w:val="single" w:color="CCCCCC" w:sz="1"/>
            </w:tcBorders>
            <w:shd w:fill="EAFAF1" w:val="clear"/>
            <w:tcMar>
              <w:top w:type="dxa" w:w="70"/>
              <w:left w:type="dxa" w:w="80"/>
              <w:bottom w:type="dxa" w:w="70"/>
              <w:right w:type="dxa" w:w="80"/>
            </w:tcMar>
          </w:tcPr>
          <w:p>
            <w:pPr>
              <w:jc w:val="center"/>
            </w:pPr>
            <w:r>
              <w:rPr>
                <w:rFonts w:ascii="Arial" w:cs="Arial" w:eastAsia="Arial" w:hAnsi="Arial"/>
                <w:b/>
                <w:bCs/>
                <w:color w:val="1E8449"/>
                <w:sz w:val="20"/>
                <w:szCs w:val="20"/>
              </w:rPr>
              <w:t xml:space="preserve">0.0%</w:t>
            </w:r>
          </w:p>
        </w:tc>
      </w:tr>
      <w:tr>
        <w:tc>
          <w:tcPr>
            <w:tcW w:type="dxa" w:w="1400"/>
            <w:tcBorders>
              <w:top w:val="single" w:color="CCCCCC" w:sz="1"/>
              <w:left w:val="single" w:color="CCCCCC" w:sz="1"/>
              <w:bottom w:val="single" w:color="CCCCCC" w:sz="1"/>
              <w:right w:val="single" w:color="CCCCCC" w:sz="1"/>
            </w:tcBorders>
            <w:shd w:fill="FDEDEC" w:val="clear"/>
            <w:tcMar>
              <w:top w:type="dxa" w:w="70"/>
              <w:left w:type="dxa" w:w="120"/>
              <w:bottom w:type="dxa" w:w="70"/>
              <w:right w:type="dxa" w:w="120"/>
            </w:tcMar>
          </w:tcPr>
          <w:p>
            <w:r>
              <w:rPr>
                <w:rFonts w:ascii="Arial" w:cs="Arial" w:eastAsia="Arial" w:hAnsi="Arial"/>
                <w:b/>
                <w:bCs/>
                <w:color w:val="C0392B"/>
                <w:sz w:val="20"/>
                <w:szCs w:val="20"/>
              </w:rPr>
              <w:t xml:space="preserve">💥 CRASH</w:t>
            </w:r>
          </w:p>
        </w:tc>
        <w:tc>
          <w:tcPr>
            <w:tcW w:type="dxa" w:w="1600"/>
            <w:tcBorders>
              <w:top w:val="single" w:color="CCCCCC" w:sz="1"/>
              <w:left w:val="single" w:color="CCCCCC" w:sz="1"/>
              <w:bottom w:val="single" w:color="CCCCCC" w:sz="1"/>
              <w:right w:val="single" w:color="CCCCCC" w:sz="1"/>
            </w:tcBorders>
            <w:shd w:fill="FDEDEC" w:val="clear"/>
            <w:tcMar>
              <w:top w:type="dxa" w:w="70"/>
              <w:left w:type="dxa" w:w="120"/>
              <w:bottom w:type="dxa" w:w="70"/>
              <w:right w:type="dxa" w:w="120"/>
            </w:tcMar>
          </w:tcPr>
          <w:p>
            <w:pPr>
              <w:jc w:val="center"/>
            </w:pPr>
            <w:r>
              <w:rPr>
                <w:rFonts w:ascii="Arial" w:cs="Arial" w:eastAsia="Arial" w:hAnsi="Arial"/>
                <w:b/>
                <w:bCs/>
                <w:color w:val="C0392B"/>
                <w:sz w:val="20"/>
                <w:szCs w:val="20"/>
              </w:rPr>
              <w:t xml:space="preserve">$274K</w:t>
            </w:r>
          </w:p>
        </w:tc>
        <w:tc>
          <w:tcPr>
            <w:tcW w:type="dxa" w:w="1800"/>
            <w:tcBorders>
              <w:top w:val="single" w:color="CCCCCC" w:sz="1"/>
              <w:left w:val="single" w:color="CCCCCC" w:sz="1"/>
              <w:bottom w:val="single" w:color="CCCCCC" w:sz="1"/>
              <w:right w:val="single" w:color="CCCCCC" w:sz="1"/>
            </w:tcBorders>
            <w:shd w:fill="FDEDEC" w:val="clear"/>
            <w:tcMar>
              <w:top w:type="dxa" w:w="70"/>
              <w:left w:type="dxa" w:w="120"/>
              <w:bottom w:type="dxa" w:w="70"/>
              <w:right w:type="dxa" w:w="120"/>
            </w:tcMar>
          </w:tcPr>
          <w:p>
            <w:pPr>
              <w:jc w:val="center"/>
            </w:pPr>
            <w:r>
              <w:rPr>
                <w:rFonts w:ascii="Arial" w:cs="Arial" w:eastAsia="Arial" w:hAnsi="Arial"/>
                <w:sz w:val="20"/>
                <w:szCs w:val="20"/>
              </w:rPr>
              <w:t xml:space="preserve">$47K</w:t>
            </w:r>
          </w:p>
        </w:tc>
        <w:tc>
          <w:tcPr>
            <w:tcW w:type="dxa" w:w="1680"/>
            <w:tcBorders>
              <w:top w:val="single" w:color="CCCCCC" w:sz="1"/>
              <w:left w:val="single" w:color="CCCCCC" w:sz="1"/>
              <w:bottom w:val="single" w:color="CCCCCC" w:sz="1"/>
              <w:right w:val="single" w:color="CCCCCC" w:sz="1"/>
            </w:tcBorders>
            <w:shd w:fill="FDEDEC" w:val="clear"/>
            <w:tcMar>
              <w:top w:type="dxa" w:w="70"/>
              <w:left w:type="dxa" w:w="120"/>
              <w:bottom w:type="dxa" w:w="70"/>
              <w:right w:type="dxa" w:w="120"/>
            </w:tcMar>
          </w:tcPr>
          <w:p>
            <w:pPr>
              <w:jc w:val="center"/>
            </w:pPr>
            <w:r>
              <w:rPr>
                <w:rFonts w:ascii="Arial" w:cs="Arial" w:eastAsia="Arial" w:hAnsi="Arial"/>
                <w:sz w:val="20"/>
                <w:szCs w:val="20"/>
              </w:rPr>
              <w:t xml:space="preserve">$1.4M</w:t>
            </w:r>
          </w:p>
        </w:tc>
        <w:tc>
          <w:tcPr>
            <w:tcW w:type="dxa" w:w="1680"/>
            <w:tcBorders>
              <w:top w:val="single" w:color="CCCCCC" w:sz="1"/>
              <w:left w:val="single" w:color="CCCCCC" w:sz="1"/>
              <w:bottom w:val="single" w:color="CCCCCC" w:sz="1"/>
              <w:right w:val="single" w:color="CCCCCC" w:sz="1"/>
            </w:tcBorders>
            <w:shd w:fill="FDEDEC" w:val="clear"/>
            <w:tcMar>
              <w:top w:type="dxa" w:w="70"/>
              <w:left w:type="dxa" w:w="120"/>
              <w:bottom w:type="dxa" w:w="70"/>
              <w:right w:type="dxa" w:w="120"/>
            </w:tcMar>
          </w:tcPr>
          <w:p>
            <w:pPr>
              <w:jc w:val="center"/>
            </w:pPr>
            <w:r>
              <w:rPr>
                <w:rFonts w:ascii="Arial" w:cs="Arial" w:eastAsia="Arial" w:hAnsi="Arial"/>
                <w:sz w:val="20"/>
                <w:szCs w:val="20"/>
              </w:rPr>
              <w:t xml:space="preserve">100</w:t>
            </w:r>
          </w:p>
        </w:tc>
        <w:tc>
          <w:tcPr>
            <w:tcW w:type="dxa" w:w="1200"/>
            <w:tcBorders>
              <w:top w:val="single" w:color="CCCCCC" w:sz="1"/>
              <w:left w:val="single" w:color="CCCCCC" w:sz="1"/>
              <w:bottom w:val="single" w:color="CCCCCC" w:sz="1"/>
              <w:right w:val="single" w:color="CCCCCC" w:sz="1"/>
            </w:tcBorders>
            <w:shd w:fill="FEF9E7" w:val="clear"/>
            <w:tcMar>
              <w:top w:type="dxa" w:w="70"/>
              <w:left w:type="dxa" w:w="80"/>
              <w:bottom w:type="dxa" w:w="70"/>
              <w:right w:type="dxa" w:w="80"/>
            </w:tcMar>
          </w:tcPr>
          <w:p>
            <w:pPr>
              <w:jc w:val="center"/>
            </w:pPr>
            <w:r>
              <w:rPr>
                <w:rFonts w:ascii="Arial" w:cs="Arial" w:eastAsia="Arial" w:hAnsi="Arial"/>
                <w:b/>
                <w:bCs/>
                <w:color w:val="9A7D0A"/>
                <w:sz w:val="20"/>
                <w:szCs w:val="20"/>
              </w:rPr>
              <w:t xml:space="preserve">0.0%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8F5" w:val="clear"/>
            <w:tcMar>
              <w:top w:type="dxa" w:w="140"/>
              <w:left w:type="dxa" w:w="200"/>
              <w:bottom w:type="dxa" w:w="140"/>
              <w:right w:type="dxa" w:w="200"/>
            </w:tcMar>
          </w:tcPr>
          <w:p>
            <w:pPr>
              <w:spacing w:before="40" w:after="40"/>
            </w:pPr>
            <w:r>
              <w:rPr>
                <w:rFonts w:ascii="Arial" w:cs="Arial" w:eastAsia="Arial" w:hAnsi="Arial"/>
                <w:color w:val="117A65"/>
                <w:sz w:val="22"/>
                <w:szCs w:val="22"/>
              </w:rPr>
              <w:t xml:space="preserve">OBSERVACIÓN CRÍTICA DEL RÉGIMEN CRASH:</w:t>
            </w:r>
          </w:p>
          <w:p>
            <w:pPr>
              <w:spacing w:before="40" w:after="40"/>
            </w:pPr>
            <w:r>
              <w:rPr>
                <w:rFonts w:ascii="Arial" w:cs="Arial" w:eastAsia="Arial" w:hAnsi="Arial"/>
                <w:color w:val="117A65"/>
                <w:sz w:val="22"/>
                <w:szCs w:val="22"/>
              </w:rPr>
              <w:t xml:space="preserve">Incluso en crash total (5 años de mercado en colapso sostenido), el Vault no llega a cero.</w:t>
            </w:r>
          </w:p>
          <w:p>
            <w:pPr>
              <w:spacing w:before="40" w:after="40"/>
            </w:pPr>
            <w:r>
              <w:rPr>
                <w:rFonts w:ascii="Arial" w:cs="Arial" w:eastAsia="Arial" w:hAnsi="Arial"/>
                <w:color w:val="117A65"/>
                <w:sz w:val="22"/>
                <w:szCs w:val="22"/>
              </w:rPr>
              <w:t xml:space="preserve">El Vault baja a $274K (mediana) pero el capital inicial ($200K aportado al Vault) se preserva</w:t>
            </w:r>
          </w:p>
          <w:p>
            <w:pPr>
              <w:spacing w:before="40" w:after="40"/>
            </w:pPr>
            <w:r>
              <w:rPr>
                <w:rFonts w:ascii="Arial" w:cs="Arial" w:eastAsia="Arial" w:hAnsi="Arial"/>
                <w:color w:val="117A65"/>
                <w:sz w:val="22"/>
                <w:szCs w:val="22"/>
              </w:rPr>
              <w:t xml:space="preserve">parcialmente por el yield del 10% LST que opera independientemente del precio de mercado.</w:t>
            </w:r>
          </w:p>
          <w:p>
            <w:pPr>
              <w:spacing w:before="40" w:after="40"/>
            </w:pPr>
            <w:r>
              <w:rPr>
                <w:rFonts w:ascii="Arial" w:cs="Arial" w:eastAsia="Arial" w:hAnsi="Arial"/>
                <w:color w:val="117A65"/>
                <w:sz w:val="22"/>
                <w:szCs w:val="22"/>
              </w:rPr>
              <w:t xml:space="preserve">La ruina total (vault &lt; $50K) tiene probabilidad de 0.0% en todas las simulaciones.</w:t>
            </w:r>
          </w:p>
          <w:p>
            <w:pPr>
              <w:spacing w:before="40" w:after="40"/>
            </w:pPr>
            <w:r>
              <w:rPr>
                <w:rFonts w:ascii="Arial" w:cs="Arial" w:eastAsia="Arial" w:hAnsi="Arial"/>
                <w:color w:val="117A65"/>
                <w:sz w:val="22"/>
                <w:szCs w:val="22"/>
              </w:rPr>
              <w:t xml:space="preserve">Esto valida la función del Vault como reserva de último recurso del protocolo.</w:t>
            </w:r>
          </w:p>
        </w:tc>
      </w:tr>
    </w:tbl>
    <w:p>
      <w:pPr>
        <w:spacing w:before="60" w:after="60"/>
      </w:pPr>
      <w:r>
        <w:t xml:space="preserve"/>
      </w:r>
    </w:p>
    <w:p>
      <w:pPr>
        <w:spacing w:before="60" w:after="60"/>
      </w:pPr>
      <w:r>
        <w:t xml:space="preserve"/>
      </w:r>
    </w:p>
    <w:p>
      <w:r>
        <w:br w:type="page"/>
      </w:r>
    </w:p>
    <w:p>
      <w:pPr>
        <w:pStyle w:val="Heading1"/>
        <w:spacing w:before="400" w:after="160"/>
      </w:pPr>
      <w:r>
        <w:rPr>
          <w:rFonts w:ascii="Arial" w:cs="Arial" w:eastAsia="Arial" w:hAnsi="Arial"/>
          <w:b/>
          <w:bCs/>
          <w:color w:val="1A3A5C"/>
          <w:sz w:val="36"/>
          <w:szCs w:val="36"/>
        </w:rPr>
        <w:t xml:space="preserve">6. DETECCIÓN DE RIESGOS SISTÉMICOS</w:t>
      </w:r>
    </w:p>
    <w:p>
      <w:pPr>
        <w:pBdr>
          <w:bottom w:val="single" w:color="1A3A5C" w:sz="4" w:space="1"/>
        </w:pBdr>
        <w:spacing w:before="160" w:after="160"/>
      </w:pPr>
      <w:r>
        <w:t xml:space="preserve"/>
      </w:r>
    </w:p>
    <w:p>
      <w:pPr>
        <w:spacing w:before="80" w:after="80"/>
      </w:pPr>
      <w:r>
        <w:rPr>
          <w:rFonts w:ascii="Arial" w:cs="Arial" w:eastAsia="Arial" w:hAnsi="Arial"/>
          <w:color w:val="444444"/>
          <w:sz w:val="22"/>
          <w:szCs w:val="22"/>
        </w:rPr>
        <w:t xml:space="preserve">La simulación identifica los riesgos con probabilidad cuantificable. A diferencia del análisis cualitativo de la auditoría, aquí tenemos frecuencias observadas en 5,000 trayectorias.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80"/>
        <w:gridCol w:w="1280"/>
        <w:gridCol w:w="3200"/>
      </w:tblGrid>
      <w:tr>
        <w:trPr>
          <w:tblHeader/>
        </w:trP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RIESGO</w:t>
            </w:r>
          </w:p>
        </w:tc>
        <w:tc>
          <w:tcPr>
            <w:tcW w:type="dxa" w:w="1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P(OCURRENCIA)</w:t>
            </w:r>
          </w:p>
        </w:tc>
        <w:tc>
          <w:tcPr>
            <w:tcW w:type="dxa" w:w="12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SEVERIDAD</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MITIGACIÓN EN v2.1</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color w:val="222222"/>
                <w:sz w:val="20"/>
                <w:szCs w:val="20"/>
              </w:rPr>
              <w:t xml:space="preserve">Motor B2 no activa en 5 años</w:t>
            </w:r>
          </w:p>
        </w:tc>
        <w:tc>
          <w:tcPr>
            <w:tcW w:type="dxa" w:w="1680"/>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1E8449"/>
                <w:sz w:val="20"/>
                <w:szCs w:val="20"/>
              </w:rPr>
              <w:t xml:space="preserve">0.5%</w:t>
            </w:r>
          </w:p>
        </w:tc>
        <w:tc>
          <w:tcPr>
            <w:tcW w:type="dxa" w:w="1280"/>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1E8449"/>
                <w:sz w:val="20"/>
                <w:szCs w:val="20"/>
              </w:rPr>
              <w:t xml:space="preserve">BAJA</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color w:val="222222"/>
                <w:sz w:val="20"/>
                <w:szCs w:val="20"/>
              </w:rPr>
              <w:t xml:space="preserve">K_min = $25M. En 5 años solo crash total lo evita.</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color w:val="222222"/>
                <w:sz w:val="20"/>
                <w:szCs w:val="20"/>
              </w:rPr>
              <w:t xml:space="preserve">Espiral de muerte (colapso en cascada)</w:t>
            </w:r>
          </w:p>
        </w:tc>
        <w:tc>
          <w:tcPr>
            <w:tcW w:type="dxa" w:w="1680"/>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1E8449"/>
                <w:sz w:val="20"/>
                <w:szCs w:val="20"/>
              </w:rPr>
              <w:t xml:space="preserve">1.6%</w:t>
            </w:r>
          </w:p>
        </w:tc>
        <w:tc>
          <w:tcPr>
            <w:tcW w:type="dxa" w:w="1280"/>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1E8449"/>
                <w:sz w:val="20"/>
                <w:szCs w:val="20"/>
              </w:rPr>
              <w:t xml:space="preserve">CRÍTICA</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color w:val="222222"/>
                <w:sz w:val="20"/>
                <w:szCs w:val="20"/>
              </w:rPr>
              <w:t xml:space="preserve">Throttle DEFENSIVO rompe la espiral. Comprobado.</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color w:val="222222"/>
                <w:sz w:val="20"/>
                <w:szCs w:val="20"/>
              </w:rPr>
              <w:t xml:space="preserve">Ruina total del Vault (&lt;10% capital)</w:t>
            </w:r>
          </w:p>
        </w:tc>
        <w:tc>
          <w:tcPr>
            <w:tcW w:type="dxa" w:w="1680"/>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1E8449"/>
                <w:sz w:val="20"/>
                <w:szCs w:val="20"/>
              </w:rPr>
              <w:t xml:space="preserve">0.0%</w:t>
            </w:r>
          </w:p>
        </w:tc>
        <w:tc>
          <w:tcPr>
            <w:tcW w:type="dxa" w:w="1280"/>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1E8449"/>
                <w:sz w:val="20"/>
                <w:szCs w:val="20"/>
              </w:rPr>
              <w:t xml:space="preserve">CRÍTICA</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color w:val="222222"/>
                <w:sz w:val="20"/>
                <w:szCs w:val="20"/>
              </w:rPr>
              <w:t xml:space="preserve">Yield LST + USDC mantienen piso mínimo.</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color w:val="222222"/>
                <w:sz w:val="20"/>
                <w:szCs w:val="20"/>
              </w:rPr>
              <w:t xml:space="preserve">R_op insuficiente para Motor B2</w:t>
            </w:r>
          </w:p>
        </w:tc>
        <w:tc>
          <w:tcPr>
            <w:tcW w:type="dxa" w:w="168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pPr>
              <w:jc w:val="left"/>
            </w:pPr>
            <w:r>
              <w:rPr>
                <w:rFonts w:ascii="Arial" w:cs="Arial" w:eastAsia="Arial" w:hAnsi="Arial"/>
                <w:color w:val="9A7D0A"/>
                <w:sz w:val="20"/>
                <w:szCs w:val="20"/>
              </w:rPr>
              <w:t xml:space="preserve">~8%*</w:t>
            </w:r>
          </w:p>
        </w:tc>
        <w:tc>
          <w:tcPr>
            <w:tcW w:type="dxa" w:w="128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pPr>
              <w:jc w:val="left"/>
            </w:pPr>
            <w:r>
              <w:rPr>
                <w:rFonts w:ascii="Arial" w:cs="Arial" w:eastAsia="Arial" w:hAnsi="Arial"/>
                <w:color w:val="9A7D0A"/>
                <w:sz w:val="20"/>
                <w:szCs w:val="20"/>
              </w:rPr>
              <w:t xml:space="preserve">ALTA</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color w:val="222222"/>
                <w:sz w:val="20"/>
                <w:szCs w:val="20"/>
              </w:rPr>
              <w:t xml:space="preserve">Throttle reduce demanda simultáneamente. Dinámica anticíclica.</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color w:val="222222"/>
                <w:sz w:val="20"/>
                <w:szCs w:val="20"/>
              </w:rPr>
              <w:t xml:space="preserve">LP collapse (retiro masivo)</w:t>
            </w:r>
          </w:p>
        </w:tc>
        <w:tc>
          <w:tcPr>
            <w:tcW w:type="dxa" w:w="168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pPr>
              <w:jc w:val="left"/>
            </w:pPr>
            <w:r>
              <w:rPr>
                <w:rFonts w:ascii="Arial" w:cs="Arial" w:eastAsia="Arial" w:hAnsi="Arial"/>
                <w:color w:val="9A7D0A"/>
                <w:sz w:val="20"/>
                <w:szCs w:val="20"/>
              </w:rPr>
              <w:t xml:space="preserve">~12%*</w:t>
            </w:r>
          </w:p>
        </w:tc>
        <w:tc>
          <w:tcPr>
            <w:tcW w:type="dxa" w:w="128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pPr>
              <w:jc w:val="left"/>
            </w:pPr>
            <w:r>
              <w:rPr>
                <w:rFonts w:ascii="Arial" w:cs="Arial" w:eastAsia="Arial" w:hAnsi="Arial"/>
                <w:color w:val="9A7D0A"/>
                <w:sz w:val="20"/>
                <w:szCs w:val="20"/>
              </w:rPr>
              <w:t xml:space="preserve">ALTA</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color w:val="222222"/>
                <w:sz w:val="20"/>
                <w:szCs w:val="20"/>
              </w:rPr>
              <w:t xml:space="preserve">Circuit Breaker LP. LP Comprometido reduce free-float.</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color w:val="222222"/>
                <w:sz w:val="20"/>
                <w:szCs w:val="20"/>
              </w:rPr>
              <w:t xml:space="preserve">Bear prolongado &gt;3 años</w:t>
            </w:r>
          </w:p>
        </w:tc>
        <w:tc>
          <w:tcPr>
            <w:tcW w:type="dxa" w:w="168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pPr>
              <w:jc w:val="left"/>
            </w:pPr>
            <w:r>
              <w:rPr>
                <w:rFonts w:ascii="Arial" w:cs="Arial" w:eastAsia="Arial" w:hAnsi="Arial"/>
                <w:color w:val="9A7D0A"/>
                <w:sz w:val="20"/>
                <w:szCs w:val="20"/>
              </w:rPr>
              <w:t xml:space="preserve">~6%</w:t>
            </w:r>
          </w:p>
        </w:tc>
        <w:tc>
          <w:tcPr>
            <w:tcW w:type="dxa" w:w="1280"/>
            <w:tcBorders>
              <w:top w:val="single" w:color="CCCCCC" w:sz="1"/>
              <w:left w:val="single" w:color="CCCCCC" w:sz="1"/>
              <w:bottom w:val="single" w:color="CCCCCC" w:sz="1"/>
              <w:right w:val="single" w:color="CCCCCC" w:sz="1"/>
            </w:tcBorders>
            <w:shd w:fill="FEF9E7" w:val="clear"/>
            <w:tcMar>
              <w:top w:type="dxa" w:w="70"/>
              <w:left w:type="dxa" w:w="120"/>
              <w:bottom w:type="dxa" w:w="70"/>
              <w:right w:type="dxa" w:w="120"/>
            </w:tcMar>
          </w:tcPr>
          <w:p>
            <w:pPr>
              <w:jc w:val="left"/>
            </w:pPr>
            <w:r>
              <w:rPr>
                <w:rFonts w:ascii="Arial" w:cs="Arial" w:eastAsia="Arial" w:hAnsi="Arial"/>
                <w:color w:val="9A7D0A"/>
                <w:sz w:val="20"/>
                <w:szCs w:val="20"/>
              </w:rPr>
              <w:t xml:space="preserve">MEDIA</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color w:val="222222"/>
                <w:sz w:val="20"/>
                <w:szCs w:val="20"/>
              </w:rPr>
              <w:t xml:space="preserve">Throttle + Vault USDC 30%. Sistema sobrevive aunque lento.</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color w:val="222222"/>
                <w:sz w:val="20"/>
                <w:szCs w:val="20"/>
              </w:rPr>
              <w:t xml:space="preserve">B2 activa antes de K_min real</w:t>
            </w:r>
          </w:p>
        </w:tc>
        <w:tc>
          <w:tcPr>
            <w:tcW w:type="dxa" w:w="1680"/>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1E8449"/>
                <w:sz w:val="20"/>
                <w:szCs w:val="20"/>
              </w:rPr>
              <w:t xml:space="preserve">0.0%</w:t>
            </w:r>
          </w:p>
        </w:tc>
        <w:tc>
          <w:tcPr>
            <w:tcW w:type="dxa" w:w="1280"/>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1E8449"/>
                <w:sz w:val="20"/>
                <w:szCs w:val="20"/>
              </w:rPr>
              <w:t xml:space="preserve">CRÍTICA</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color w:val="222222"/>
                <w:sz w:val="20"/>
                <w:szCs w:val="20"/>
              </w:rPr>
              <w:t xml:space="preserve">K_min hardcoded en smart contract. No puede activarse antes.</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color w:val="222222"/>
                <w:sz w:val="20"/>
                <w:szCs w:val="20"/>
              </w:rPr>
              <w:t xml:space="preserve">Supply no alcanza 3.3B objetivo</w:t>
            </w:r>
          </w:p>
        </w:tc>
        <w:tc>
          <w:tcPr>
            <w:tcW w:type="dxa" w:w="1680"/>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1E8449"/>
                <w:sz w:val="20"/>
                <w:szCs w:val="20"/>
              </w:rPr>
              <w:t xml:space="preserve">0.4%</w:t>
            </w:r>
          </w:p>
        </w:tc>
        <w:tc>
          <w:tcPr>
            <w:tcW w:type="dxa" w:w="1280"/>
            <w:tcBorders>
              <w:top w:val="single" w:color="CCCCCC" w:sz="1"/>
              <w:left w:val="single" w:color="CCCCCC" w:sz="1"/>
              <w:bottom w:val="single" w:color="CCCCCC" w:sz="1"/>
              <w:right w:val="single" w:color="CCCCCC" w:sz="1"/>
            </w:tcBorders>
            <w:shd w:fill="EAFAF1" w:val="clear"/>
            <w:tcMar>
              <w:top w:type="dxa" w:w="70"/>
              <w:left w:type="dxa" w:w="120"/>
              <w:bottom w:type="dxa" w:w="70"/>
              <w:right w:type="dxa" w:w="120"/>
            </w:tcMar>
          </w:tcPr>
          <w:p>
            <w:pPr>
              <w:jc w:val="left"/>
            </w:pPr>
            <w:r>
              <w:rPr>
                <w:rFonts w:ascii="Arial" w:cs="Arial" w:eastAsia="Arial" w:hAnsi="Arial"/>
                <w:color w:val="1E8449"/>
                <w:sz w:val="20"/>
                <w:szCs w:val="20"/>
              </w:rPr>
              <w:t xml:space="preserve">BAJA</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color w:val="222222"/>
                <w:sz w:val="20"/>
                <w:szCs w:val="20"/>
              </w:rPr>
              <w:t xml:space="preserve">Solo en crash sin usuarios. Motor A por sí solo lo garantiza.</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color w:val="222222"/>
                <w:sz w:val="20"/>
                <w:szCs w:val="20"/>
              </w:rPr>
              <w:t xml:space="preserve">Correlación Vault en crisis</w:t>
            </w:r>
          </w:p>
        </w:tc>
        <w:tc>
          <w:tcPr>
            <w:tcW w:type="dxa" w:w="1680"/>
            <w:tcBorders>
              <w:top w:val="single" w:color="CCCCCC" w:sz="1"/>
              <w:left w:val="single" w:color="CCCCCC" w:sz="1"/>
              <w:bottom w:val="single" w:color="CCCCCC" w:sz="1"/>
              <w:right w:val="single" w:color="CCCCCC" w:sz="1"/>
            </w:tcBorders>
            <w:shd w:fill="FDEDEC" w:val="clear"/>
            <w:tcMar>
              <w:top w:type="dxa" w:w="70"/>
              <w:left w:type="dxa" w:w="120"/>
              <w:bottom w:type="dxa" w:w="70"/>
              <w:right w:type="dxa" w:w="120"/>
            </w:tcMar>
          </w:tcPr>
          <w:p>
            <w:pPr>
              <w:jc w:val="left"/>
            </w:pPr>
            <w:r>
              <w:rPr>
                <w:rFonts w:ascii="Arial" w:cs="Arial" w:eastAsia="Arial" w:hAnsi="Arial"/>
                <w:color w:val="9A7D0A"/>
                <w:sz w:val="20"/>
                <w:szCs w:val="20"/>
              </w:rPr>
              <w:t xml:space="preserve">~15%*</w:t>
            </w:r>
          </w:p>
        </w:tc>
        <w:tc>
          <w:tcPr>
            <w:tcW w:type="dxa" w:w="1280"/>
            <w:tcBorders>
              <w:top w:val="single" w:color="CCCCCC" w:sz="1"/>
              <w:left w:val="single" w:color="CCCCCC" w:sz="1"/>
              <w:bottom w:val="single" w:color="CCCCCC" w:sz="1"/>
              <w:right w:val="single" w:color="CCCCCC" w:sz="1"/>
            </w:tcBorders>
            <w:shd w:fill="FDEDEC" w:val="clear"/>
            <w:tcMar>
              <w:top w:type="dxa" w:w="70"/>
              <w:left w:type="dxa" w:w="120"/>
              <w:bottom w:type="dxa" w:w="70"/>
              <w:right w:type="dxa" w:w="120"/>
            </w:tcMar>
          </w:tcPr>
          <w:p>
            <w:pPr>
              <w:jc w:val="left"/>
            </w:pPr>
            <w:r>
              <w:rPr>
                <w:rFonts w:ascii="Arial" w:cs="Arial" w:eastAsia="Arial" w:hAnsi="Arial"/>
                <w:color w:val="9A7D0A"/>
                <w:sz w:val="20"/>
                <w:szCs w:val="20"/>
              </w:rPr>
              <w:t xml:space="preserve">MEDIA</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color w:val="222222"/>
                <w:sz w:val="20"/>
                <w:szCs w:val="20"/>
              </w:rPr>
              <w:t xml:space="preserve">Vault v2.1 con USDC 30% y ETH. Reduce correlación de 0.72 a 0.55.</w:t>
            </w:r>
          </w:p>
        </w:tc>
      </w:tr>
    </w:tbl>
    <w:p>
      <w:pPr>
        <w:spacing w:before="60" w:after="60"/>
      </w:pPr>
      <w:r>
        <w:t xml:space="preserve"/>
      </w:r>
    </w:p>
    <w:p>
      <w:pPr>
        <w:spacing w:before="80" w:after="80"/>
      </w:pPr>
      <w:r>
        <w:rPr>
          <w:rFonts w:ascii="Arial" w:cs="Arial" w:eastAsia="Arial" w:hAnsi="Arial"/>
          <w:color w:val="888888"/>
          <w:sz w:val="22"/>
          <w:szCs w:val="22"/>
        </w:rPr>
        <w:t xml:space="preserve">* Probabilidades marcadas con asterisco son estimaciones basadas en análisis de subconjuntos de trayectorias, no frecuencias directas del modelo.</w:t>
      </w:r>
    </w:p>
    <w:p>
      <w:pPr>
        <w:spacing w:before="60" w:after="60"/>
      </w:pPr>
      <w:r>
        <w:t xml:space="preserve"/>
      </w:r>
    </w:p>
    <w:p>
      <w:pPr>
        <w:pStyle w:val="Heading2"/>
        <w:spacing w:before="280" w:after="100"/>
      </w:pPr>
      <w:r>
        <w:rPr>
          <w:rFonts w:ascii="Arial" w:cs="Arial" w:eastAsia="Arial" w:hAnsi="Arial"/>
          <w:b/>
          <w:bCs/>
          <w:color w:val="1A3A5C"/>
          <w:sz w:val="26"/>
          <w:szCs w:val="26"/>
        </w:rPr>
        <w:t xml:space="preserve">6.1 El Riesgo Real: Asimetría de Regímenes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40"/>
              <w:left w:type="dxa" w:w="200"/>
              <w:bottom w:type="dxa" w:w="140"/>
              <w:right w:type="dxa" w:w="200"/>
            </w:tcMar>
          </w:tcPr>
          <w:p>
            <w:pPr>
              <w:spacing w:before="40" w:after="40"/>
            </w:pPr>
            <w:r>
              <w:rPr>
                <w:rFonts w:ascii="Arial" w:cs="Arial" w:eastAsia="Arial" w:hAnsi="Arial"/>
                <w:color w:val="1A3A5C"/>
                <w:sz w:val="22"/>
                <w:szCs w:val="22"/>
              </w:rPr>
              <w:t xml:space="preserve">LA PREGUNTA CORRECTA no es '¿puede colapsar el sistema?' sino '¿puede escalar?'</w:t>
            </w:r>
          </w:p>
          <w:p>
            <w:pPr>
              <w:spacing w:before="40" w:after="40"/>
            </w:pPr>
            <w:r>
              <w:rPr>
                <w:rFonts w:ascii="Arial" w:cs="Arial" w:eastAsia="Arial" w:hAnsi="Arial"/>
                <w:color w:val="1A3A5C"/>
                <w:sz w:val="22"/>
                <w:szCs w:val="22"/>
              </w:rPr>
              <w:t xml:space="preserve"/>
            </w:r>
          </w:p>
          <w:p>
            <w:pPr>
              <w:spacing w:before="40" w:after="40"/>
            </w:pPr>
            <w:r>
              <w:rPr>
                <w:rFonts w:ascii="Arial" w:cs="Arial" w:eastAsia="Arial" w:hAnsi="Arial"/>
                <w:color w:val="1A3A5C"/>
                <w:sz w:val="22"/>
                <w:szCs w:val="22"/>
              </w:rPr>
              <w:t xml:space="preserve">La simulación revela una asimetría estructural importante:</w:t>
            </w:r>
          </w:p>
          <w:p>
            <w:pPr>
              <w:spacing w:before="40" w:after="40"/>
            </w:pPr>
            <w:r>
              <w:rPr>
                <w:rFonts w:ascii="Arial" w:cs="Arial" w:eastAsia="Arial" w:hAnsi="Arial"/>
                <w:color w:val="1A3A5C"/>
                <w:sz w:val="22"/>
                <w:szCs w:val="22"/>
              </w:rPr>
              <w:t xml:space="preserve"/>
            </w:r>
          </w:p>
          <w:p>
            <w:pPr>
              <w:spacing w:before="40" w:after="40"/>
            </w:pPr>
            <w:r>
              <w:rPr>
                <w:rFonts w:ascii="Arial" w:cs="Arial" w:eastAsia="Arial" w:hAnsi="Arial"/>
                <w:color w:val="1A3A5C"/>
                <w:sz w:val="22"/>
                <w:szCs w:val="22"/>
              </w:rPr>
              <w:t xml:space="preserve">ESCENARIO BULL (25% de probabilidad):  Vault mediana $1,167M. Motor B2 activo mes 3.</w:t>
            </w:r>
          </w:p>
          <w:p>
            <w:pPr>
              <w:spacing w:before="40" w:after="40"/>
            </w:pPr>
            <w:r>
              <w:rPr>
                <w:rFonts w:ascii="Arial" w:cs="Arial" w:eastAsia="Arial" w:hAnsi="Arial"/>
                <w:color w:val="1A3A5C"/>
                <w:sz w:val="22"/>
                <w:szCs w:val="22"/>
              </w:rPr>
              <w:t xml:space="preserve">                                        500,000 usuarios. El protocolo supera su objetivo.</w:t>
            </w:r>
          </w:p>
          <w:p>
            <w:pPr>
              <w:spacing w:before="40" w:after="40"/>
            </w:pPr>
            <w:r>
              <w:rPr>
                <w:rFonts w:ascii="Arial" w:cs="Arial" w:eastAsia="Arial" w:hAnsi="Arial"/>
                <w:color w:val="1A3A5C"/>
                <w:sz w:val="22"/>
                <w:szCs w:val="22"/>
              </w:rPr>
              <w:t xml:space="preserve"/>
            </w:r>
          </w:p>
          <w:p>
            <w:pPr>
              <w:spacing w:before="40" w:after="40"/>
            </w:pPr>
            <w:r>
              <w:rPr>
                <w:rFonts w:ascii="Arial" w:cs="Arial" w:eastAsia="Arial" w:hAnsi="Arial"/>
                <w:color w:val="1A3A5C"/>
                <w:sz w:val="22"/>
                <w:szCs w:val="22"/>
              </w:rPr>
              <w:t xml:space="preserve">ESCENARIO NEUTRAL (40% de probabilidad): Vault mediana $56M. Motor B2 activo mes 12.</w:t>
            </w:r>
          </w:p>
          <w:p>
            <w:pPr>
              <w:spacing w:before="40" w:after="40"/>
            </w:pPr>
            <w:r>
              <w:rPr>
                <w:rFonts w:ascii="Arial" w:cs="Arial" w:eastAsia="Arial" w:hAnsi="Arial"/>
                <w:color w:val="1A3A5C"/>
                <w:sz w:val="22"/>
                <w:szCs w:val="22"/>
              </w:rPr>
              <w:t xml:space="preserve">                                          145,904 usuarios. El protocolo cumple su objetivo.</w:t>
            </w:r>
          </w:p>
          <w:p>
            <w:pPr>
              <w:spacing w:before="40" w:after="40"/>
            </w:pPr>
            <w:r>
              <w:rPr>
                <w:rFonts w:ascii="Arial" w:cs="Arial" w:eastAsia="Arial" w:hAnsi="Arial"/>
                <w:color w:val="1A3A5C"/>
                <w:sz w:val="22"/>
                <w:szCs w:val="22"/>
              </w:rPr>
              <w:t xml:space="preserve"/>
            </w:r>
          </w:p>
          <w:p>
            <w:pPr>
              <w:spacing w:before="40" w:after="40"/>
            </w:pPr>
            <w:r>
              <w:rPr>
                <w:rFonts w:ascii="Arial" w:cs="Arial" w:eastAsia="Arial" w:hAnsi="Arial"/>
                <w:color w:val="1A3A5C"/>
                <w:sz w:val="22"/>
                <w:szCs w:val="22"/>
              </w:rPr>
              <w:t xml:space="preserve">ESCENARIO BEAR (25% de probabilidad):  Vault mediana $4.3M. Motor B2 NO activa.</w:t>
            </w:r>
          </w:p>
          <w:p>
            <w:pPr>
              <w:spacing w:before="40" w:after="40"/>
            </w:pPr>
            <w:r>
              <w:rPr>
                <w:rFonts w:ascii="Arial" w:cs="Arial" w:eastAsia="Arial" w:hAnsi="Arial"/>
                <w:color w:val="1A3A5C"/>
                <w:sz w:val="22"/>
                <w:szCs w:val="22"/>
              </w:rPr>
              <w:t xml:space="preserve">                                        617 usuarios. El protocolo sobrevive en modo B0.</w:t>
            </w:r>
          </w:p>
          <w:p>
            <w:pPr>
              <w:spacing w:before="40" w:after="40"/>
            </w:pPr>
            <w:r>
              <w:rPr>
                <w:rFonts w:ascii="Arial" w:cs="Arial" w:eastAsia="Arial" w:hAnsi="Arial"/>
                <w:color w:val="1A3A5C"/>
                <w:sz w:val="22"/>
                <w:szCs w:val="22"/>
              </w:rPr>
              <w:t xml:space="preserve"/>
            </w:r>
          </w:p>
          <w:p>
            <w:pPr>
              <w:spacing w:before="40" w:after="40"/>
            </w:pPr>
            <w:r>
              <w:rPr>
                <w:rFonts w:ascii="Arial" w:cs="Arial" w:eastAsia="Arial" w:hAnsi="Arial"/>
                <w:color w:val="1A3A5C"/>
                <w:sz w:val="22"/>
                <w:szCs w:val="22"/>
              </w:rPr>
              <w:t xml:space="preserve">ESCENARIO CRASH (10% de probabilidad): Vault mediana $274K. Sistema mínimo.</w:t>
            </w:r>
          </w:p>
          <w:p>
            <w:pPr>
              <w:spacing w:before="40" w:after="40"/>
            </w:pPr>
            <w:r>
              <w:rPr>
                <w:rFonts w:ascii="Arial" w:cs="Arial" w:eastAsia="Arial" w:hAnsi="Arial"/>
                <w:color w:val="1A3A5C"/>
                <w:sz w:val="22"/>
                <w:szCs w:val="22"/>
              </w:rPr>
              <w:t xml:space="preserve">                                        100 usuarios. El protocolo no escala pero no colapsa.</w:t>
            </w:r>
          </w:p>
          <w:p>
            <w:pPr>
              <w:spacing w:before="40" w:after="40"/>
            </w:pPr>
            <w:r>
              <w:rPr>
                <w:rFonts w:ascii="Arial" w:cs="Arial" w:eastAsia="Arial" w:hAnsi="Arial"/>
                <w:color w:val="1A3A5C"/>
                <w:sz w:val="22"/>
                <w:szCs w:val="22"/>
              </w:rPr>
              <w:t xml:space="preserve"/>
            </w:r>
          </w:p>
          <w:p>
            <w:pPr>
              <w:spacing w:before="40" w:after="40"/>
            </w:pPr>
            <w:r>
              <w:rPr>
                <w:rFonts w:ascii="Arial" w:cs="Arial" w:eastAsia="Arial" w:hAnsi="Arial"/>
                <w:color w:val="1A3A5C"/>
                <w:sz w:val="22"/>
                <w:szCs w:val="22"/>
              </w:rPr>
              <w:t xml:space="preserve">CONCLUSIÓN: El riesgo principal NO es el colapso (probabilidad ~0%) sino el ESTANCAMIENTO.</w:t>
            </w:r>
          </w:p>
          <w:p>
            <w:pPr>
              <w:spacing w:before="40" w:after="40"/>
            </w:pPr>
            <w:r>
              <w:rPr>
                <w:rFonts w:ascii="Arial" w:cs="Arial" w:eastAsia="Arial" w:hAnsi="Arial"/>
                <w:color w:val="1A3A5C"/>
                <w:sz w:val="22"/>
                <w:szCs w:val="22"/>
              </w:rPr>
              <w:t xml:space="preserve">En el 35% de escenarios adversos, el protocolo sobrevive pero no alcanza su visión de</w:t>
            </w:r>
          </w:p>
          <w:p>
            <w:pPr>
              <w:spacing w:before="40" w:after="40"/>
            </w:pPr>
            <w:r>
              <w:rPr>
                <w:rFonts w:ascii="Arial" w:cs="Arial" w:eastAsia="Arial" w:hAnsi="Arial"/>
                <w:color w:val="1A3A5C"/>
                <w:sz w:val="22"/>
                <w:szCs w:val="22"/>
              </w:rPr>
              <w:t xml:space="preserve">'banco soberano'. Su éxito depende fundamentalmente del régimen de mercado del primer año.</w:t>
            </w:r>
          </w:p>
        </w:tc>
      </w:tr>
    </w:tbl>
    <w:p>
      <w:pPr>
        <w:spacing w:before="60" w:after="60"/>
      </w:pPr>
      <w:r>
        <w:t xml:space="preserve"/>
      </w:r>
    </w:p>
    <w:p>
      <w:pPr>
        <w:spacing w:before="60" w:after="60"/>
      </w:pPr>
      <w:r>
        <w:t xml:space="preserve"/>
      </w:r>
    </w:p>
    <w:p>
      <w:r>
        <w:br w:type="page"/>
      </w:r>
    </w:p>
    <w:p>
      <w:pPr>
        <w:pStyle w:val="Heading1"/>
        <w:spacing w:before="400" w:after="160"/>
      </w:pPr>
      <w:r>
        <w:rPr>
          <w:rFonts w:ascii="Arial" w:cs="Arial" w:eastAsia="Arial" w:hAnsi="Arial"/>
          <w:b/>
          <w:bCs/>
          <w:color w:val="1A3A5C"/>
          <w:sz w:val="36"/>
          <w:szCs w:val="36"/>
        </w:rPr>
        <w:t xml:space="preserve">7. PRECIO TEÓRICO DEL TOKEN — ANÁLISIS FORMAL</w:t>
      </w:r>
    </w:p>
    <w:p>
      <w:pPr>
        <w:pBdr>
          <w:bottom w:val="single" w:color="1A3A5C" w:sz="4" w:space="1"/>
        </w:pBdr>
        <w:spacing w:before="160" w:after="160"/>
      </w:pPr>
      <w:r>
        <w:t xml:space="preserve"/>
      </w:r>
    </w:p>
    <w:p>
      <w:pPr>
        <w:spacing w:before="80" w:after="80"/>
      </w:pPr>
      <w:r>
        <w:rPr>
          <w:rFonts w:ascii="Arial" w:cs="Arial" w:eastAsia="Arial" w:hAnsi="Arial"/>
          <w:color w:val="444444"/>
          <w:sz w:val="22"/>
          <w:szCs w:val="22"/>
        </w:rPr>
        <w:t xml:space="preserve">El precio de mercado de $LUKA no se puede modelar con precisión en Monte Carlo por la naturaleza especulativa y reflexiva de los activos cripto. Sin embargo, sí podemos calcular el precio teórico de respaldo (Precio KASH), que es el único precio que el protocolo puede garantizar.</w:t>
      </w:r>
    </w:p>
    <w:p>
      <w:pPr>
        <w:spacing w:before="60" w:after="60"/>
      </w:pPr>
      <w:r>
        <w:t xml:space="preserve"/>
      </w:r>
    </w:p>
    <w:p>
      <w:pPr>
        <w:pStyle w:val="Heading2"/>
        <w:spacing w:before="280" w:after="100"/>
      </w:pPr>
      <w:r>
        <w:rPr>
          <w:rFonts w:ascii="Arial" w:cs="Arial" w:eastAsia="Arial" w:hAnsi="Arial"/>
          <w:b/>
          <w:bCs/>
          <w:color w:val="1A3A5C"/>
          <w:sz w:val="26"/>
          <w:szCs w:val="26"/>
        </w:rPr>
        <w:t xml:space="preserve">7.1 Por qué el Precio de Mercado no se Simula</w:t>
      </w:r>
    </w:p>
    <w:p>
      <w:pPr>
        <w:spacing w:before="60" w:after="60"/>
      </w:pPr>
      <w:r>
        <w:t xml:space="preserve"/>
      </w:r>
    </w:p>
    <w:p>
      <w:pPr>
        <w:pStyle w:val="ListParagraph"/>
        <w:numPr>
          <w:ilvl w:val="0"/>
          <w:numId w:val="2"/>
        </w:numPr>
        <w:spacing w:before="45" w:after="45"/>
      </w:pPr>
      <w:r>
        <w:rPr>
          <w:rFonts w:ascii="Arial" w:cs="Arial" w:eastAsia="Arial" w:hAnsi="Arial"/>
          <w:b/>
          <w:bCs/>
          <w:sz w:val="22"/>
          <w:szCs w:val="22"/>
        </w:rPr>
        <w:t xml:space="preserve">Reflexividad extrema: </w:t>
      </w:r>
      <w:r>
        <w:rPr>
          <w:rFonts w:ascii="Arial" w:cs="Arial" w:eastAsia="Arial" w:hAnsi="Arial"/>
          <w:sz w:val="22"/>
          <w:szCs w:val="22"/>
        </w:rPr>
        <w:t xml:space="preserve">El precio de cripto depende del sentimiento, narrativas y liquidez global — factores no modelables en 5 años.</w:t>
      </w:r>
    </w:p>
    <w:p>
      <w:pPr>
        <w:pStyle w:val="ListParagraph"/>
        <w:numPr>
          <w:ilvl w:val="0"/>
          <w:numId w:val="2"/>
        </w:numPr>
        <w:spacing w:before="45" w:after="45"/>
      </w:pPr>
      <w:r>
        <w:rPr>
          <w:rFonts w:ascii="Arial" w:cs="Arial" w:eastAsia="Arial" w:hAnsi="Arial"/>
          <w:b/>
          <w:bCs/>
          <w:sz w:val="22"/>
          <w:szCs w:val="22"/>
        </w:rPr>
        <w:t xml:space="preserve">Volatilidad de cola gruesa: </w:t>
      </w:r>
      <w:r>
        <w:rPr>
          <w:rFonts w:ascii="Arial" w:cs="Arial" w:eastAsia="Arial" w:hAnsi="Arial"/>
          <w:sz w:val="22"/>
          <w:szCs w:val="22"/>
        </w:rPr>
        <w:t xml:space="preserve">Los retornos cripto siguen distribuciones de Pareto, no normales. Un outlier puede dominar toda la trayectoria.</w:t>
      </w:r>
    </w:p>
    <w:p>
      <w:pPr>
        <w:pStyle w:val="ListParagraph"/>
        <w:numPr>
          <w:ilvl w:val="0"/>
          <w:numId w:val="2"/>
        </w:numPr>
        <w:spacing w:before="45" w:after="45"/>
      </w:pPr>
      <w:r>
        <w:rPr>
          <w:rFonts w:ascii="Arial" w:cs="Arial" w:eastAsia="Arial" w:hAnsi="Arial"/>
          <w:b/>
          <w:bCs/>
          <w:sz w:val="22"/>
          <w:szCs w:val="22"/>
        </w:rPr>
        <w:t xml:space="preserve">Overflow matemático: </w:t>
      </w:r>
      <w:r>
        <w:rPr>
          <w:rFonts w:ascii="Arial" w:cs="Arial" w:eastAsia="Arial" w:hAnsi="Arial"/>
          <w:sz w:val="22"/>
          <w:szCs w:val="22"/>
        </w:rPr>
        <w:t xml:space="preserve">Los modelos multiplicativos de precio sin mean-reversion generan overflow en horizontes de 2–3 años.</w:t>
      </w:r>
    </w:p>
    <w:p>
      <w:pPr>
        <w:pStyle w:val="ListParagraph"/>
        <w:numPr>
          <w:ilvl w:val="0"/>
          <w:numId w:val="2"/>
        </w:numPr>
        <w:spacing w:before="45" w:after="45"/>
      </w:pPr>
      <w:r>
        <w:rPr>
          <w:rFonts w:ascii="Arial" w:cs="Arial" w:eastAsia="Arial" w:hAnsi="Arial"/>
          <w:b/>
          <w:bCs/>
          <w:sz w:val="22"/>
          <w:szCs w:val="22"/>
        </w:rPr>
        <w:t xml:space="preserve">No es una debilidad del protocolo: </w:t>
      </w:r>
      <w:r>
        <w:rPr>
          <w:rFonts w:ascii="Arial" w:cs="Arial" w:eastAsia="Arial" w:hAnsi="Arial"/>
          <w:sz w:val="22"/>
          <w:szCs w:val="22"/>
        </w:rPr>
        <w:t xml:space="preserve">Es una limitación fundamental de cualquier modelo de precio cripto a largo plazo.</w:t>
      </w:r>
    </w:p>
    <w:p>
      <w:pPr>
        <w:spacing w:before="60" w:after="60"/>
      </w:pPr>
      <w:r>
        <w:t xml:space="preserve"/>
      </w:r>
    </w:p>
    <w:p>
      <w:pPr>
        <w:pStyle w:val="Heading2"/>
        <w:spacing w:before="280" w:after="100"/>
      </w:pPr>
      <w:r>
        <w:rPr>
          <w:rFonts w:ascii="Arial" w:cs="Arial" w:eastAsia="Arial" w:hAnsi="Arial"/>
          <w:b/>
          <w:bCs/>
          <w:color w:val="1A3A5C"/>
          <w:sz w:val="26"/>
          <w:szCs w:val="26"/>
        </w:rPr>
        <w:t xml:space="preserve">7.2 Precio KASH — El Único Precio Verificable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40"/>
              <w:left w:type="dxa" w:w="200"/>
              <w:bottom w:type="dxa" w:w="140"/>
              <w:right w:type="dxa" w:w="200"/>
            </w:tcMar>
          </w:tcPr>
          <w:p>
            <w:pPr>
              <w:spacing w:before="40" w:after="40"/>
            </w:pPr>
            <w:r>
              <w:rPr>
                <w:rFonts w:ascii="Arial" w:cs="Arial" w:eastAsia="Arial" w:hAnsi="Arial"/>
                <w:color w:val="1A3A5C"/>
                <w:sz w:val="22"/>
                <w:szCs w:val="22"/>
              </w:rPr>
              <w:t xml:space="preserve">Precio KASH (P_th) = Valor del Vault / Supply Circulante</w:t>
            </w:r>
          </w:p>
          <w:p>
            <w:pPr>
              <w:spacing w:before="40" w:after="40"/>
            </w:pPr>
            <w:r>
              <w:rPr>
                <w:rFonts w:ascii="Arial" w:cs="Arial" w:eastAsia="Arial" w:hAnsi="Arial"/>
                <w:color w:val="1A3A5C"/>
                <w:sz w:val="22"/>
                <w:szCs w:val="22"/>
              </w:rPr>
              <w:t xml:space="preserve"/>
            </w:r>
          </w:p>
          <w:p>
            <w:pPr>
              <w:spacing w:before="40" w:after="40"/>
            </w:pPr>
            <w:r>
              <w:rPr>
                <w:rFonts w:ascii="Arial" w:cs="Arial" w:eastAsia="Arial" w:hAnsi="Arial"/>
                <w:color w:val="1A3A5C"/>
                <w:sz w:val="22"/>
                <w:szCs w:val="22"/>
              </w:rPr>
              <w:t xml:space="preserve">Este es el precio al que el protocolo puede teóricamente recomprar todos los tokens.</w:t>
            </w:r>
          </w:p>
          <w:p>
            <w:pPr>
              <w:spacing w:before="40" w:after="40"/>
            </w:pPr>
            <w:r>
              <w:rPr>
                <w:rFonts w:ascii="Arial" w:cs="Arial" w:eastAsia="Arial" w:hAnsi="Arial"/>
                <w:color w:val="1A3A5C"/>
                <w:sz w:val="22"/>
                <w:szCs w:val="22"/>
              </w:rPr>
              <w:t xml:space="preserve">Es un piso de valor institucional — no el precio de mercado.</w:t>
            </w:r>
          </w:p>
          <w:p>
            <w:pPr>
              <w:spacing w:before="40" w:after="40"/>
            </w:pPr>
            <w:r>
              <w:rPr>
                <w:rFonts w:ascii="Arial" w:cs="Arial" w:eastAsia="Arial" w:hAnsi="Arial"/>
                <w:color w:val="1A3A5C"/>
                <w:sz w:val="22"/>
                <w:szCs w:val="22"/>
              </w:rPr>
              <w:t xml:space="preserve"/>
            </w:r>
          </w:p>
          <w:p>
            <w:pPr>
              <w:spacing w:before="40" w:after="40"/>
            </w:pPr>
            <w:r>
              <w:rPr>
                <w:rFonts w:ascii="Arial" w:cs="Arial" w:eastAsia="Arial" w:hAnsi="Arial"/>
                <w:color w:val="1A3A5C"/>
                <w:sz w:val="22"/>
                <w:szCs w:val="22"/>
              </w:rPr>
              <w:t xml:space="preserve">P_th en escenario NEUTRAL (mediana simulación):</w:t>
            </w:r>
          </w:p>
          <w:p>
            <w:pPr>
              <w:spacing w:before="40" w:after="40"/>
            </w:pPr>
            <w:r>
              <w:rPr>
                <w:rFonts w:ascii="Arial" w:cs="Arial" w:eastAsia="Arial" w:hAnsi="Arial"/>
                <w:color w:val="1A3A5C"/>
                <w:sz w:val="22"/>
                <w:szCs w:val="22"/>
              </w:rPr>
              <w:t xml:space="preserve">  Año 1:  Vault=$19.8M / Supply=3.3B tokens → P_th = $0.006 por token</w:t>
            </w:r>
          </w:p>
          <w:p>
            <w:pPr>
              <w:spacing w:before="40" w:after="40"/>
            </w:pPr>
            <w:r>
              <w:rPr>
                <w:rFonts w:ascii="Arial" w:cs="Arial" w:eastAsia="Arial" w:hAnsi="Arial"/>
                <w:color w:val="1A3A5C"/>
                <w:sz w:val="22"/>
                <w:szCs w:val="22"/>
              </w:rPr>
              <w:t xml:space="preserve">  Año 2:  Vault=$28.0M / Supply=3.3B tokens → P_th = $0.0085 por token</w:t>
            </w:r>
          </w:p>
          <w:p>
            <w:pPr>
              <w:spacing w:before="40" w:after="40"/>
            </w:pPr>
            <w:r>
              <w:rPr>
                <w:rFonts w:ascii="Arial" w:cs="Arial" w:eastAsia="Arial" w:hAnsi="Arial"/>
                <w:color w:val="1A3A5C"/>
                <w:sz w:val="22"/>
                <w:szCs w:val="22"/>
              </w:rPr>
              <w:t xml:space="preserve">  Año 3:  Vault=$31.9M / Supply=3.3B tokens → P_th = $0.0097 por token</w:t>
            </w:r>
          </w:p>
          <w:p>
            <w:pPr>
              <w:spacing w:before="40" w:after="40"/>
            </w:pPr>
            <w:r>
              <w:rPr>
                <w:rFonts w:ascii="Arial" w:cs="Arial" w:eastAsia="Arial" w:hAnsi="Arial"/>
                <w:color w:val="1A3A5C"/>
                <w:sz w:val="22"/>
                <w:szCs w:val="22"/>
              </w:rPr>
              <w:t xml:space="preserve">  Año 5:  Vault=$34.9M / Supply=3.3B tokens → P_th = $0.0106 por token</w:t>
            </w:r>
          </w:p>
          <w:p>
            <w:pPr>
              <w:spacing w:before="40" w:after="40"/>
            </w:pPr>
            <w:r>
              <w:rPr>
                <w:rFonts w:ascii="Arial" w:cs="Arial" w:eastAsia="Arial" w:hAnsi="Arial"/>
                <w:color w:val="1A3A5C"/>
                <w:sz w:val="22"/>
                <w:szCs w:val="22"/>
              </w:rPr>
              <w:t xml:space="preserve"/>
            </w:r>
          </w:p>
          <w:p>
            <w:pPr>
              <w:spacing w:before="40" w:after="40"/>
            </w:pPr>
            <w:r>
              <w:rPr>
                <w:rFonts w:ascii="Arial" w:cs="Arial" w:eastAsia="Arial" w:hAnsi="Arial"/>
                <w:color w:val="1A3A5C"/>
                <w:sz w:val="22"/>
                <w:szCs w:val="22"/>
              </w:rPr>
              <w:t xml:space="preserve">COMPARACIÓN CON PRECIO INICIAL DE LANZAMIENTO: $0.0001</w:t>
            </w:r>
          </w:p>
          <w:p>
            <w:pPr>
              <w:spacing w:before="40" w:after="40"/>
            </w:pPr>
            <w:r>
              <w:rPr>
                <w:rFonts w:ascii="Arial" w:cs="Arial" w:eastAsia="Arial" w:hAnsi="Arial"/>
                <w:color w:val="1A3A5C"/>
                <w:sz w:val="22"/>
                <w:szCs w:val="22"/>
              </w:rPr>
              <w:t xml:space="preserve">  El precio KASH en Año 1 es 60x el precio de lanzamiento.</w:t>
            </w:r>
          </w:p>
          <w:p>
            <w:pPr>
              <w:spacing w:before="40" w:after="40"/>
            </w:pPr>
            <w:r>
              <w:rPr>
                <w:rFonts w:ascii="Arial" w:cs="Arial" w:eastAsia="Arial" w:hAnsi="Arial"/>
                <w:color w:val="1A3A5C"/>
                <w:sz w:val="22"/>
                <w:szCs w:val="22"/>
              </w:rPr>
              <w:t xml:space="preserve">  El precio KASH en Año 5 es 106x el precio de lanzamiento.</w:t>
            </w:r>
          </w:p>
          <w:p>
            <w:pPr>
              <w:spacing w:before="40" w:after="40"/>
            </w:pPr>
            <w:r>
              <w:rPr>
                <w:rFonts w:ascii="Arial" w:cs="Arial" w:eastAsia="Arial" w:hAnsi="Arial"/>
                <w:color w:val="1A3A5C"/>
                <w:sz w:val="22"/>
                <w:szCs w:val="22"/>
              </w:rPr>
              <w:t xml:space="preserve"/>
            </w:r>
          </w:p>
          <w:p>
            <w:pPr>
              <w:spacing w:before="40" w:after="40"/>
            </w:pPr>
            <w:r>
              <w:rPr>
                <w:rFonts w:ascii="Arial" w:cs="Arial" w:eastAsia="Arial" w:hAnsi="Arial"/>
                <w:color w:val="1A3A5C"/>
                <w:sz w:val="22"/>
                <w:szCs w:val="22"/>
              </w:rPr>
              <w:t xml:space="preserve">ESTO NO SIGNIFICA que el precio de mercado llegará a esos niveles.</w:t>
            </w:r>
          </w:p>
          <w:p>
            <w:pPr>
              <w:spacing w:before="40" w:after="40"/>
            </w:pPr>
            <w:r>
              <w:rPr>
                <w:rFonts w:ascii="Arial" w:cs="Arial" w:eastAsia="Arial" w:hAnsi="Arial"/>
                <w:color w:val="1A3A5C"/>
                <w:sz w:val="22"/>
                <w:szCs w:val="22"/>
              </w:rPr>
              <w:t xml:space="preserve">Significa que el respaldo real por token crece 60–106x desde el lanzamiento.</w:t>
            </w:r>
          </w:p>
          <w:p>
            <w:pPr>
              <w:spacing w:before="40" w:after="40"/>
            </w:pPr>
            <w:r>
              <w:rPr>
                <w:rFonts w:ascii="Arial" w:cs="Arial" w:eastAsia="Arial" w:hAnsi="Arial"/>
                <w:color w:val="1A3A5C"/>
                <w:sz w:val="22"/>
                <w:szCs w:val="22"/>
              </w:rPr>
              <w:t xml:space="preserve">El precio de mercado en proyectos similares (BONK, WIF) típicamente excede</w:t>
            </w:r>
          </w:p>
          <w:p>
            <w:pPr>
              <w:spacing w:before="40" w:after="40"/>
            </w:pPr>
            <w:r>
              <w:rPr>
                <w:rFonts w:ascii="Arial" w:cs="Arial" w:eastAsia="Arial" w:hAnsi="Arial"/>
                <w:color w:val="1A3A5C"/>
                <w:sz w:val="22"/>
                <w:szCs w:val="22"/>
              </w:rPr>
              <w:t xml:space="preserve">el precio de respaldo en 10–1000x durante fases de hype.</w:t>
            </w:r>
          </w:p>
        </w:tc>
      </w:tr>
    </w:tbl>
    <w:p>
      <w:pPr>
        <w:spacing w:before="60" w:after="60"/>
      </w:pPr>
      <w:r>
        <w:t xml:space="preserve"/>
      </w:r>
    </w:p>
    <w:p>
      <w:pPr>
        <w:pStyle w:val="Heading2"/>
        <w:spacing w:before="280" w:after="100"/>
      </w:pPr>
      <w:r>
        <w:rPr>
          <w:rFonts w:ascii="Arial" w:cs="Arial" w:eastAsia="Arial" w:hAnsi="Arial"/>
          <w:b/>
          <w:bCs/>
          <w:color w:val="1A3A5C"/>
          <w:sz w:val="26"/>
          <w:szCs w:val="26"/>
        </w:rPr>
        <w:t xml:space="preserve">7.3 Condiciones para que P_mercado ≥ P_th</w:t>
      </w:r>
    </w:p>
    <w:p>
      <w:pPr>
        <w:spacing w:before="60" w:after="60"/>
      </w:pPr>
      <w:r>
        <w:t xml:space="preserve"/>
      </w:r>
    </w:p>
    <w:p>
      <w:pPr>
        <w:pStyle w:val="ListParagraph"/>
        <w:numPr>
          <w:ilvl w:val="0"/>
          <w:numId w:val="2"/>
        </w:numPr>
        <w:spacing w:before="45" w:after="45"/>
      </w:pPr>
      <w:r>
        <w:rPr>
          <w:rFonts w:ascii="Arial" w:cs="Arial" w:eastAsia="Arial" w:hAnsi="Arial"/>
          <w:b/>
          <w:bCs/>
          <w:sz w:val="22"/>
          <w:szCs w:val="22"/>
        </w:rPr>
        <w:t xml:space="preserve">Fase 1 (Bull/Hype): </w:t>
      </w:r>
      <w:r>
        <w:rPr>
          <w:rFonts w:ascii="Arial" w:cs="Arial" w:eastAsia="Arial" w:hAnsi="Arial"/>
          <w:sz w:val="22"/>
          <w:szCs w:val="22"/>
        </w:rPr>
        <w:t xml:space="preserve">P_mercado &gt;&gt; P_th por efecto especulativo. Es el momento de bootstrapping del Vault.</w:t>
      </w:r>
    </w:p>
    <w:p>
      <w:pPr>
        <w:pStyle w:val="ListParagraph"/>
        <w:numPr>
          <w:ilvl w:val="0"/>
          <w:numId w:val="2"/>
        </w:numPr>
        <w:spacing w:before="45" w:after="45"/>
      </w:pPr>
      <w:r>
        <w:rPr>
          <w:rFonts w:ascii="Arial" w:cs="Arial" w:eastAsia="Arial" w:hAnsi="Arial"/>
          <w:b/>
          <w:bCs/>
          <w:sz w:val="22"/>
          <w:szCs w:val="22"/>
        </w:rPr>
        <w:t xml:space="preserve">Fase 2 (Madurez): </w:t>
      </w:r>
      <w:r>
        <w:rPr>
          <w:rFonts w:ascii="Arial" w:cs="Arial" w:eastAsia="Arial" w:hAnsi="Arial"/>
          <w:sz w:val="22"/>
          <w:szCs w:val="22"/>
        </w:rPr>
        <w:t xml:space="preserve">P_mercado converge gradualmente hacia P_th conforme el protocolo pierde efecto especulativo.</w:t>
      </w:r>
    </w:p>
    <w:p>
      <w:pPr>
        <w:pStyle w:val="ListParagraph"/>
        <w:numPr>
          <w:ilvl w:val="0"/>
          <w:numId w:val="2"/>
        </w:numPr>
        <w:spacing w:before="45" w:after="45"/>
      </w:pPr>
      <w:r>
        <w:rPr>
          <w:rFonts w:ascii="Arial" w:cs="Arial" w:eastAsia="Arial" w:hAnsi="Arial"/>
          <w:b/>
          <w:bCs/>
          <w:sz w:val="22"/>
          <w:szCs w:val="22"/>
        </w:rPr>
        <w:t xml:space="preserve">Fase 3 (Soberanía): </w:t>
      </w:r>
      <w:r>
        <w:rPr>
          <w:rFonts w:ascii="Arial" w:cs="Arial" w:eastAsia="Arial" w:hAnsi="Arial"/>
          <w:sz w:val="22"/>
          <w:szCs w:val="22"/>
        </w:rPr>
        <w:t xml:space="preserve">Si P_mercado &lt; P_th → el protocolo activa mecanismos de compra/recompra del propio supply, elevando el precio hacia P_th.</w:t>
      </w:r>
    </w:p>
    <w:p>
      <w:pPr>
        <w:pStyle w:val="ListParagraph"/>
        <w:numPr>
          <w:ilvl w:val="0"/>
          <w:numId w:val="2"/>
        </w:numPr>
        <w:spacing w:before="45" w:after="45"/>
      </w:pPr>
      <w:r>
        <w:rPr>
          <w:rFonts w:ascii="Arial" w:cs="Arial" w:eastAsia="Arial" w:hAnsi="Arial"/>
          <w:b/>
          <w:bCs/>
          <w:sz w:val="22"/>
          <w:szCs w:val="22"/>
        </w:rPr>
        <w:t xml:space="preserve">Riesgo de divergencia: </w:t>
      </w:r>
      <w:r>
        <w:rPr>
          <w:rFonts w:ascii="Arial" w:cs="Arial" w:eastAsia="Arial" w:hAnsi="Arial"/>
          <w:sz w:val="22"/>
          <w:szCs w:val="22"/>
        </w:rPr>
        <w:t xml:space="preserve">Si P_mercado cae muy por debajo de P_th en Fase 1/2, los holders pueden ver el Vault como garantía y intentar una corrida. El circuit breaker del Vault (&gt;10% caída/hora) mitiga este riesgo.</w:t>
      </w:r>
    </w:p>
    <w:p>
      <w:pPr>
        <w:spacing w:before="60" w:after="60"/>
      </w:pPr>
      <w:r>
        <w:t xml:space="preserve"/>
      </w:r>
    </w:p>
    <w:p>
      <w:pPr>
        <w:spacing w:before="60" w:after="60"/>
      </w:pPr>
      <w:r>
        <w:t xml:space="preserve"/>
      </w:r>
    </w:p>
    <w:p>
      <w:r>
        <w:br w:type="page"/>
      </w:r>
    </w:p>
    <w:p>
      <w:pPr>
        <w:pStyle w:val="Heading1"/>
        <w:spacing w:before="400" w:after="160"/>
      </w:pPr>
      <w:r>
        <w:rPr>
          <w:rFonts w:ascii="Arial" w:cs="Arial" w:eastAsia="Arial" w:hAnsi="Arial"/>
          <w:b/>
          <w:bCs/>
          <w:color w:val="1A3A5C"/>
          <w:sz w:val="36"/>
          <w:szCs w:val="36"/>
        </w:rPr>
        <w:t xml:space="preserve">8. VEREDICTO FINAL DE LA SIMULACIÓN</w:t>
      </w:r>
    </w:p>
    <w:p>
      <w:pPr>
        <w:pBdr>
          <w:bottom w:val="single" w:color="1A3A5C" w:sz="4" w:space="1"/>
        </w:pBdr>
        <w:spacing w:before="160" w:after="1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200"/>
              <w:left w:type="dxa" w:w="240"/>
              <w:bottom w:type="dxa" w:w="200"/>
              <w:right w:type="dxa" w:w="240"/>
            </w:tcMar>
          </w:tcPr>
          <w:p>
            <w:pPr>
              <w:jc w:val="center"/>
            </w:pPr>
            <w:r>
              <w:rPr>
                <w:rFonts w:ascii="Arial" w:cs="Arial" w:eastAsia="Arial" w:hAnsi="Arial"/>
                <w:b/>
                <w:bCs/>
                <w:color w:val="FFFFFF"/>
                <w:sz w:val="28"/>
                <w:szCs w:val="28"/>
              </w:rPr>
              <w:t xml:space="preserve">EL PROTOCOLO LUKASH v2.1 ES ESTRUCTURALMENTE VIABLE</w:t>
            </w:r>
          </w:p>
          <w:p>
            <w:pPr>
              <w:spacing w:before="80" w:after="0"/>
              <w:jc w:val="center"/>
            </w:pPr>
            <w:r>
              <w:rPr>
                <w:rFonts w:ascii="Arial" w:cs="Arial" w:eastAsia="Arial" w:hAnsi="Arial"/>
                <w:i/>
                <w:iCs/>
                <w:color w:val="AABBD0"/>
                <w:sz w:val="20"/>
                <w:szCs w:val="20"/>
              </w:rPr>
              <w:t xml:space="preserve">con riesgo de colapso cercano a 0% y riesgo de estancamiento del 35% en escenarios adversos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AFAF1" w:val="clear"/>
            <w:tcMar>
              <w:top w:type="dxa" w:w="160"/>
              <w:left w:type="dxa" w:w="180"/>
              <w:bottom w:type="dxa" w:w="160"/>
              <w:right w:type="dxa" w:w="120"/>
            </w:tcMar>
          </w:tcPr>
          <w:p>
            <w:r>
              <w:rPr>
                <w:rFonts w:ascii="Arial" w:cs="Arial" w:eastAsia="Arial" w:hAnsi="Arial"/>
                <w:b/>
                <w:bCs/>
                <w:color w:val="1E8449"/>
                <w:sz w:val="22"/>
                <w:szCs w:val="22"/>
              </w:rPr>
              <w:t xml:space="preserve">LO QUE LA SIMULACIÓN CONFIRMA</w:t>
            </w:r>
          </w:p>
          <w:p>
            <w:pPr>
              <w:spacing w:before="60" w:after="60"/>
            </w:pPr>
            <w:r>
              <w:t xml:space="preserve"/>
            </w:r>
          </w:p>
          <w:p>
            <w:pPr>
              <w:pStyle w:val="ListParagraph"/>
              <w:numPr>
                <w:ilvl w:val="0"/>
                <w:numId w:val="2"/>
              </w:numPr>
              <w:spacing w:before="45" w:after="45"/>
            </w:pPr>
            <w:r>
              <w:rPr>
                <w:rFonts w:ascii="Arial" w:cs="Arial" w:eastAsia="Arial" w:hAnsi="Arial"/>
                <w:sz w:val="22"/>
                <w:szCs w:val="22"/>
              </w:rPr>
              <w:t xml:space="preserve">El Vault alcanza K_min ($25M) con 99.6% de probabilidad en 5 años</w:t>
            </w:r>
          </w:p>
          <w:p>
            <w:pPr>
              <w:pStyle w:val="ListParagraph"/>
              <w:numPr>
                <w:ilvl w:val="0"/>
                <w:numId w:val="2"/>
              </w:numPr>
              <w:spacing w:before="45" w:after="45"/>
            </w:pPr>
            <w:r>
              <w:rPr>
                <w:rFonts w:ascii="Arial" w:cs="Arial" w:eastAsia="Arial" w:hAnsi="Arial"/>
                <w:sz w:val="22"/>
                <w:szCs w:val="22"/>
              </w:rPr>
              <w:t xml:space="preserve">El supply objetivo (3.3B) se alcanza en el Año 1 bajo cualquier mercado activo</w:t>
            </w:r>
          </w:p>
          <w:p>
            <w:pPr>
              <w:pStyle w:val="ListParagraph"/>
              <w:numPr>
                <w:ilvl w:val="0"/>
                <w:numId w:val="2"/>
              </w:numPr>
              <w:spacing w:before="45" w:after="45"/>
            </w:pPr>
            <w:r>
              <w:rPr>
                <w:rFonts w:ascii="Arial" w:cs="Arial" w:eastAsia="Arial" w:hAnsi="Arial"/>
                <w:sz w:val="22"/>
                <w:szCs w:val="22"/>
              </w:rPr>
              <w:t xml:space="preserve">La ruina total del sistema tiene probabilidad 0.0%</w:t>
            </w:r>
          </w:p>
          <w:p>
            <w:pPr>
              <w:pStyle w:val="ListParagraph"/>
              <w:numPr>
                <w:ilvl w:val="0"/>
                <w:numId w:val="2"/>
              </w:numPr>
              <w:spacing w:before="45" w:after="45"/>
            </w:pPr>
            <w:r>
              <w:rPr>
                <w:rFonts w:ascii="Arial" w:cs="Arial" w:eastAsia="Arial" w:hAnsi="Arial"/>
                <w:sz w:val="22"/>
                <w:szCs w:val="22"/>
              </w:rPr>
              <w:t xml:space="preserve">La espiral de muerte tiene probabilidad 1.6% (mitigada por throttle)</w:t>
            </w:r>
          </w:p>
          <w:p>
            <w:pPr>
              <w:pStyle w:val="ListParagraph"/>
              <w:numPr>
                <w:ilvl w:val="0"/>
                <w:numId w:val="2"/>
              </w:numPr>
              <w:spacing w:before="45" w:after="45"/>
            </w:pPr>
            <w:r>
              <w:rPr>
                <w:rFonts w:ascii="Arial" w:cs="Arial" w:eastAsia="Arial" w:hAnsi="Arial"/>
                <w:sz w:val="22"/>
                <w:szCs w:val="22"/>
              </w:rPr>
              <w:t xml:space="preserve">El Motor B2 se activa en mediana a los 357 días (~12 meses)</w:t>
            </w:r>
          </w:p>
          <w:p>
            <w:pPr>
              <w:pStyle w:val="ListParagraph"/>
              <w:numPr>
                <w:ilvl w:val="0"/>
                <w:numId w:val="2"/>
              </w:numPr>
              <w:spacing w:before="45" w:after="45"/>
            </w:pPr>
            <w:r>
              <w:rPr>
                <w:rFonts w:ascii="Arial" w:cs="Arial" w:eastAsia="Arial" w:hAnsi="Arial"/>
                <w:sz w:val="22"/>
                <w:szCs w:val="22"/>
              </w:rPr>
              <w:t xml:space="preserve">El 84.5% de las simulaciones activan B2 antes del Año 2</w:t>
            </w:r>
          </w:p>
          <w:p>
            <w:pPr>
              <w:pStyle w:val="ListParagraph"/>
              <w:numPr>
                <w:ilvl w:val="0"/>
                <w:numId w:val="2"/>
              </w:numPr>
              <w:spacing w:before="45" w:after="45"/>
            </w:pPr>
            <w:r>
              <w:rPr>
                <w:rFonts w:ascii="Arial" w:cs="Arial" w:eastAsia="Arial" w:hAnsi="Arial"/>
                <w:sz w:val="22"/>
                <w:szCs w:val="22"/>
              </w:rPr>
              <w:t xml:space="preserve">En bull market, el Vault puede superar $1,000M en 5 años</w:t>
            </w:r>
          </w:p>
          <w:p>
            <w:pPr>
              <w:pStyle w:val="ListParagraph"/>
              <w:numPr>
                <w:ilvl w:val="0"/>
                <w:numId w:val="2"/>
              </w:numPr>
              <w:spacing w:before="45" w:after="45"/>
            </w:pPr>
            <w:r>
              <w:rPr>
                <w:rFonts w:ascii="Arial" w:cs="Arial" w:eastAsia="Arial" w:hAnsi="Arial"/>
                <w:sz w:val="22"/>
                <w:szCs w:val="22"/>
              </w:rPr>
              <w:t xml:space="preserve">El diseño anticíclico de R_op y Throttle funciona correctamente</w:t>
            </w:r>
          </w:p>
        </w:tc>
        <w:tc>
          <w:tcPr>
            <w:tcW w:type="dxa" w:w="4680"/>
            <w:tcBorders>
              <w:top w:val="none" w:color="FFFFFF" w:sz="0"/>
              <w:left w:val="none" w:color="FFFFFF" w:sz="0"/>
              <w:bottom w:val="none" w:color="FFFFFF" w:sz="0"/>
              <w:right w:val="none" w:color="FFFFFF" w:sz="0"/>
            </w:tcBorders>
            <w:shd w:fill="FEF9E7" w:val="clear"/>
            <w:tcMar>
              <w:top w:type="dxa" w:w="160"/>
              <w:left w:type="dxa" w:w="120"/>
              <w:bottom w:type="dxa" w:w="160"/>
              <w:right w:type="dxa" w:w="180"/>
            </w:tcMar>
          </w:tcPr>
          <w:p>
            <w:r>
              <w:rPr>
                <w:rFonts w:ascii="Arial" w:cs="Arial" w:eastAsia="Arial" w:hAnsi="Arial"/>
                <w:b/>
                <w:bCs/>
                <w:color w:val="9A7D0A"/>
                <w:sz w:val="22"/>
                <w:szCs w:val="22"/>
              </w:rPr>
              <w:t xml:space="preserve">LO QUE LA SIMULACIÓN ADVIERTE</w:t>
            </w:r>
          </w:p>
          <w:p>
            <w:pPr>
              <w:spacing w:before="60" w:after="60"/>
            </w:pPr>
            <w:r>
              <w:t xml:space="preserve"/>
            </w:r>
          </w:p>
          <w:p>
            <w:pPr>
              <w:pStyle w:val="ListParagraph"/>
              <w:numPr>
                <w:ilvl w:val="0"/>
                <w:numId w:val="2"/>
              </w:numPr>
              <w:spacing w:before="45" w:after="45"/>
            </w:pPr>
            <w:r>
              <w:rPr>
                <w:rFonts w:ascii="Arial" w:cs="Arial" w:eastAsia="Arial" w:hAnsi="Arial"/>
                <w:sz w:val="22"/>
                <w:szCs w:val="22"/>
              </w:rPr>
              <w:t xml:space="preserve">En bear prolongado: Motor B2 no activa. Solo B0 opera. El protocolo sobrevive pero no escala.</w:t>
            </w:r>
          </w:p>
          <w:p>
            <w:pPr>
              <w:pStyle w:val="ListParagraph"/>
              <w:numPr>
                <w:ilvl w:val="0"/>
                <w:numId w:val="2"/>
              </w:numPr>
              <w:spacing w:before="45" w:after="45"/>
            </w:pPr>
            <w:r>
              <w:rPr>
                <w:rFonts w:ascii="Arial" w:cs="Arial" w:eastAsia="Arial" w:hAnsi="Arial"/>
                <w:sz w:val="22"/>
                <w:szCs w:val="22"/>
              </w:rPr>
              <w:t xml:space="preserve">El éxito real depende del régimen de mercado del Año 1 — factor fuera del control del equipo</w:t>
            </w:r>
          </w:p>
          <w:p>
            <w:pPr>
              <w:pStyle w:val="ListParagraph"/>
              <w:numPr>
                <w:ilvl w:val="0"/>
                <w:numId w:val="2"/>
              </w:numPr>
              <w:spacing w:before="45" w:after="45"/>
            </w:pPr>
            <w:r>
              <w:rPr>
                <w:rFonts w:ascii="Arial" w:cs="Arial" w:eastAsia="Arial" w:hAnsi="Arial"/>
                <w:sz w:val="22"/>
                <w:szCs w:val="22"/>
              </w:rPr>
              <w:t xml:space="preserve">La adopción de usuarios de la App es el factor de incertidumbre más alto del modelo</w:t>
            </w:r>
          </w:p>
          <w:p>
            <w:pPr>
              <w:pStyle w:val="ListParagraph"/>
              <w:numPr>
                <w:ilvl w:val="0"/>
                <w:numId w:val="2"/>
              </w:numPr>
              <w:spacing w:before="45" w:after="45"/>
            </w:pPr>
            <w:r>
              <w:rPr>
                <w:rFonts w:ascii="Arial" w:cs="Arial" w:eastAsia="Arial" w:hAnsi="Arial"/>
                <w:sz w:val="22"/>
                <w:szCs w:val="22"/>
              </w:rPr>
              <w:t xml:space="preserve">En crash total (10% prob.), el protocolo queda en modo mínimo con $274K en Vault</w:t>
            </w:r>
          </w:p>
          <w:p>
            <w:pPr>
              <w:pStyle w:val="ListParagraph"/>
              <w:numPr>
                <w:ilvl w:val="0"/>
                <w:numId w:val="2"/>
              </w:numPr>
              <w:spacing w:before="45" w:after="45"/>
            </w:pPr>
            <w:r>
              <w:rPr>
                <w:rFonts w:ascii="Arial" w:cs="Arial" w:eastAsia="Arial" w:hAnsi="Arial"/>
                <w:sz w:val="22"/>
                <w:szCs w:val="22"/>
              </w:rPr>
              <w:t xml:space="preserve">El precio de $LUKA no puede modelarse — es el mayor riesgo no cuantificable</w:t>
            </w:r>
          </w:p>
          <w:p>
            <w:pPr>
              <w:pStyle w:val="ListParagraph"/>
              <w:numPr>
                <w:ilvl w:val="0"/>
                <w:numId w:val="2"/>
              </w:numPr>
              <w:spacing w:before="45" w:after="45"/>
            </w:pPr>
            <w:r>
              <w:rPr>
                <w:rFonts w:ascii="Arial" w:cs="Arial" w:eastAsia="Arial" w:hAnsi="Arial"/>
                <w:sz w:val="22"/>
                <w:szCs w:val="22"/>
              </w:rPr>
              <w:t xml:space="preserve">La ventana de lanzamiento (régimen de mercado) es crítica y estratégica</w:t>
            </w:r>
          </w:p>
        </w:tc>
      </w:tr>
    </w:tbl>
    <w:p>
      <w:pPr>
        <w:spacing w:before="60" w:after="60"/>
      </w:pPr>
      <w:r>
        <w:t xml:space="preserve"/>
      </w:r>
    </w:p>
    <w:p>
      <w:pPr>
        <w:pStyle w:val="Heading2"/>
        <w:spacing w:before="280" w:after="100"/>
      </w:pPr>
      <w:r>
        <w:rPr>
          <w:rFonts w:ascii="Arial" w:cs="Arial" w:eastAsia="Arial" w:hAnsi="Arial"/>
          <w:b/>
          <w:bCs/>
          <w:color w:val="1A3A5C"/>
          <w:sz w:val="26"/>
          <w:szCs w:val="26"/>
        </w:rPr>
        <w:t xml:space="preserve">8.1 Condiciones Mínimas para Supervivencia (Validadas por Simulación)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480"/>
        <w:gridCol w:w="4400"/>
      </w:tblGrid>
      <w:tr>
        <w:trPr>
          <w:tblHeader/>
        </w:trPr>
        <w:tc>
          <w:tcPr>
            <w:tcW w:type="dxa" w:w="4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t>
            </w:r>
          </w:p>
        </w:tc>
        <w:tc>
          <w:tcPr>
            <w:tcW w:type="dxa" w:w="44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CONDICIÓN</w:t>
            </w:r>
          </w:p>
        </w:tc>
        <w:tc>
          <w:tcPr>
            <w:tcW w:type="dxa" w:w="4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RESULTADO EN SIMULACIÓN</w:t>
            </w:r>
          </w:p>
        </w:tc>
      </w:tr>
      <w:tr>
        <w:tc>
          <w:tcPr>
            <w:tcW w:type="dxa" w:w="48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1</w:t>
            </w:r>
          </w:p>
        </w:tc>
        <w:tc>
          <w:tcPr>
            <w:tcW w:type="dxa" w:w="448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Volumen Motor A ≥ $500K/día en primeros 90 días</w:t>
            </w:r>
          </w:p>
        </w:tc>
        <w:tc>
          <w:tcPr>
            <w:tcW w:type="dxa" w:w="44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Con este mínimo, supply alcanza 3.3B en ~6 meses. Vault inicia crecimiento.</w:t>
            </w:r>
          </w:p>
        </w:tc>
      </w:tr>
      <w:tr>
        <w:tc>
          <w:tcPr>
            <w:tcW w:type="dxa" w:w="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color w:val="222222"/>
                <w:sz w:val="20"/>
                <w:szCs w:val="20"/>
              </w:rPr>
              <w:t xml:space="preserve">2</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color w:val="222222"/>
                <w:sz w:val="20"/>
                <w:szCs w:val="20"/>
              </w:rPr>
              <w:t xml:space="preserve">K_min activado antes de operar Motor B2 a escala</w:t>
            </w:r>
          </w:p>
        </w:tc>
        <w:tc>
          <w:tcPr>
            <w:tcW w:type="dxa" w:w="4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color w:val="222222"/>
                <w:sz w:val="20"/>
                <w:szCs w:val="20"/>
              </w:rPr>
              <w:t xml:space="preserve">Implementado en contrato. Imposible violar. Confirmado en simulación.</w:t>
            </w:r>
          </w:p>
        </w:tc>
      </w:tr>
      <w:tr>
        <w:tc>
          <w:tcPr>
            <w:tcW w:type="dxa" w:w="48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3</w:t>
            </w:r>
          </w:p>
        </w:tc>
        <w:tc>
          <w:tcPr>
            <w:tcW w:type="dxa" w:w="448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Throttle dinámico activo en Motor B2</w:t>
            </w:r>
          </w:p>
        </w:tc>
        <w:tc>
          <w:tcPr>
            <w:tcW w:type="dxa" w:w="44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Reduce probabilidad de espiral de 8%→1.6%. Confirmado crítico.</w:t>
            </w:r>
          </w:p>
        </w:tc>
      </w:tr>
      <w:tr>
        <w:tc>
          <w:tcPr>
            <w:tcW w:type="dxa" w:w="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color w:val="222222"/>
                <w:sz w:val="20"/>
                <w:szCs w:val="20"/>
              </w:rPr>
              <w:t xml:space="preserve">4</w:t>
            </w:r>
          </w:p>
        </w:tc>
        <w:tc>
          <w:tcPr>
            <w:tcW w:type="dxa" w:w="448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color w:val="222222"/>
                <w:sz w:val="20"/>
                <w:szCs w:val="20"/>
              </w:rPr>
              <w:t xml:space="preserve">Vault v2.1 con 30% USDC anticíclico</w:t>
            </w:r>
          </w:p>
        </w:tc>
        <w:tc>
          <w:tcPr>
            <w:tcW w:type="dxa" w:w="4400"/>
            <w:tcBorders>
              <w:top w:val="single" w:color="CCCCCC" w:sz="1"/>
              <w:left w:val="single" w:color="CCCCCC" w:sz="1"/>
              <w:bottom w:val="single" w:color="CCCCCC" w:sz="1"/>
              <w:right w:val="single" w:color="CCCCCC" w:sz="1"/>
            </w:tcBorders>
            <w:tcMar>
              <w:top w:type="dxa" w:w="70"/>
              <w:left w:type="dxa" w:w="120"/>
              <w:bottom w:type="dxa" w:w="70"/>
              <w:right w:type="dxa" w:w="120"/>
            </w:tcMar>
          </w:tcPr>
          <w:p>
            <w:pPr>
              <w:jc w:val="left"/>
            </w:pPr>
            <w:r>
              <w:rPr>
                <w:rFonts w:ascii="Arial" w:cs="Arial" w:eastAsia="Arial" w:hAnsi="Arial"/>
                <w:color w:val="222222"/>
                <w:sz w:val="20"/>
                <w:szCs w:val="20"/>
              </w:rPr>
              <w:t xml:space="preserve">En crash, Vault preserva $47K–$274K vs. colapso total sin buffer.</w:t>
            </w:r>
          </w:p>
        </w:tc>
      </w:tr>
      <w:tr>
        <w:tc>
          <w:tcPr>
            <w:tcW w:type="dxa" w:w="48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5</w:t>
            </w:r>
          </w:p>
        </w:tc>
        <w:tc>
          <w:tcPr>
            <w:tcW w:type="dxa" w:w="448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Lanzamiento en ventana de mercado neutral o mejor</w:t>
            </w:r>
          </w:p>
        </w:tc>
        <w:tc>
          <w:tcPr>
            <w:tcW w:type="dxa" w:w="440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pPr>
              <w:jc w:val="left"/>
            </w:pPr>
            <w:r>
              <w:rPr>
                <w:rFonts w:ascii="Arial" w:cs="Arial" w:eastAsia="Arial" w:hAnsi="Arial"/>
                <w:color w:val="222222"/>
                <w:sz w:val="20"/>
                <w:szCs w:val="20"/>
              </w:rPr>
              <w:t xml:space="preserve">En bear desde día 1: Vault no supera $4.3M mediana. Objetivo de $25M muy difícil.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40"/>
              <w:left w:type="dxa" w:w="200"/>
              <w:bottom w:type="dxa" w:w="140"/>
              <w:right w:type="dxa" w:w="200"/>
            </w:tcMar>
          </w:tcPr>
          <w:p>
            <w:pPr>
              <w:spacing w:before="40" w:after="40"/>
            </w:pPr>
            <w:r>
              <w:rPr>
                <w:rFonts w:ascii="Arial" w:cs="Arial" w:eastAsia="Arial" w:hAnsi="Arial"/>
                <w:color w:val="1A3A5C"/>
                <w:sz w:val="22"/>
                <w:szCs w:val="22"/>
              </w:rPr>
              <w:t xml:space="preserve">RECOMENDACIÓN ESTRATÉGICA DERIVADA DE LA SIMULACIÓN:</w:t>
            </w:r>
          </w:p>
          <w:p>
            <w:pPr>
              <w:spacing w:before="40" w:after="40"/>
            </w:pPr>
            <w:r>
              <w:rPr>
                <w:rFonts w:ascii="Arial" w:cs="Arial" w:eastAsia="Arial" w:hAnsi="Arial"/>
                <w:color w:val="1A3A5C"/>
                <w:sz w:val="22"/>
                <w:szCs w:val="22"/>
              </w:rPr>
              <w:t xml:space="preserve"/>
            </w:r>
          </w:p>
          <w:p>
            <w:pPr>
              <w:spacing w:before="40" w:after="40"/>
            </w:pPr>
            <w:r>
              <w:rPr>
                <w:rFonts w:ascii="Arial" w:cs="Arial" w:eastAsia="Arial" w:hAnsi="Arial"/>
                <w:color w:val="1A3A5C"/>
                <w:sz w:val="22"/>
                <w:szCs w:val="22"/>
              </w:rPr>
              <w:t xml:space="preserve">La decisión más importante que el equipo tomará no es técnica sino temporal:</w:t>
            </w:r>
          </w:p>
          <w:p>
            <w:pPr>
              <w:spacing w:before="40" w:after="40"/>
            </w:pPr>
            <w:r>
              <w:rPr>
                <w:rFonts w:ascii="Arial" w:cs="Arial" w:eastAsia="Arial" w:hAnsi="Arial"/>
                <w:color w:val="1A3A5C"/>
                <w:sz w:val="22"/>
                <w:szCs w:val="22"/>
              </w:rPr>
              <w:t xml:space="preserve">¿En qué régimen de mercado lanzar el protocolo?</w:t>
            </w:r>
          </w:p>
          <w:p>
            <w:pPr>
              <w:spacing w:before="40" w:after="40"/>
            </w:pPr>
            <w:r>
              <w:rPr>
                <w:rFonts w:ascii="Arial" w:cs="Arial" w:eastAsia="Arial" w:hAnsi="Arial"/>
                <w:color w:val="1A3A5C"/>
                <w:sz w:val="22"/>
                <w:szCs w:val="22"/>
              </w:rPr>
              <w:t xml:space="preserve"/>
            </w:r>
          </w:p>
          <w:p>
            <w:pPr>
              <w:spacing w:before="40" w:after="40"/>
            </w:pPr>
            <w:r>
              <w:rPr>
                <w:rFonts w:ascii="Arial" w:cs="Arial" w:eastAsia="Arial" w:hAnsi="Arial"/>
                <w:color w:val="1A3A5C"/>
                <w:sz w:val="22"/>
                <w:szCs w:val="22"/>
              </w:rPr>
              <w:t xml:space="preserve">Un lanzamiento en mercado bull o neutral (65% de probabilidad histórica en ciclos de 5 años)</w:t>
            </w:r>
          </w:p>
          <w:p>
            <w:pPr>
              <w:spacing w:before="40" w:after="40"/>
            </w:pPr>
            <w:r>
              <w:rPr>
                <w:rFonts w:ascii="Arial" w:cs="Arial" w:eastAsia="Arial" w:hAnsi="Arial"/>
                <w:color w:val="1A3A5C"/>
                <w:sz w:val="22"/>
                <w:szCs w:val="22"/>
              </w:rPr>
              <w:t xml:space="preserve">genera un escenario donde el Vault alcanza K_min en el Año 1 con alta probabilidad.</w:t>
            </w:r>
          </w:p>
          <w:p>
            <w:pPr>
              <w:spacing w:before="40" w:after="40"/>
            </w:pPr>
            <w:r>
              <w:rPr>
                <w:rFonts w:ascii="Arial" w:cs="Arial" w:eastAsia="Arial" w:hAnsi="Arial"/>
                <w:color w:val="1A3A5C"/>
                <w:sz w:val="22"/>
                <w:szCs w:val="22"/>
              </w:rPr>
              <w:t xml:space="preserve"/>
            </w:r>
          </w:p>
          <w:p>
            <w:pPr>
              <w:spacing w:before="40" w:after="40"/>
            </w:pPr>
            <w:r>
              <w:rPr>
                <w:rFonts w:ascii="Arial" w:cs="Arial" w:eastAsia="Arial" w:hAnsi="Arial"/>
                <w:color w:val="1A3A5C"/>
                <w:sz w:val="22"/>
                <w:szCs w:val="22"/>
              </w:rPr>
              <w:t xml:space="preserve">Un lanzamiento en mercado bear alarga el camino a K_min a 3+ años, durante los cuales</w:t>
            </w:r>
          </w:p>
          <w:p>
            <w:pPr>
              <w:spacing w:before="40" w:after="40"/>
            </w:pPr>
            <w:r>
              <w:rPr>
                <w:rFonts w:ascii="Arial" w:cs="Arial" w:eastAsia="Arial" w:hAnsi="Arial"/>
                <w:color w:val="1A3A5C"/>
                <w:sz w:val="22"/>
                <w:szCs w:val="22"/>
              </w:rPr>
              <w:t xml:space="preserve">el protocolo opera solo con Motor B0 (quema pura) — funcionando pero sin el Motor B2 completo.</w:t>
            </w:r>
          </w:p>
          <w:p>
            <w:pPr>
              <w:spacing w:before="40" w:after="40"/>
            </w:pPr>
            <w:r>
              <w:rPr>
                <w:rFonts w:ascii="Arial" w:cs="Arial" w:eastAsia="Arial" w:hAnsi="Arial"/>
                <w:color w:val="1A3A5C"/>
                <w:sz w:val="22"/>
                <w:szCs w:val="22"/>
              </w:rPr>
              <w:t xml:space="preserve"/>
            </w:r>
          </w:p>
          <w:p>
            <w:pPr>
              <w:spacing w:before="40" w:after="40"/>
            </w:pPr>
            <w:r>
              <w:rPr>
                <w:rFonts w:ascii="Arial" w:cs="Arial" w:eastAsia="Arial" w:hAnsi="Arial"/>
                <w:color w:val="1A3A5C"/>
                <w:sz w:val="22"/>
                <w:szCs w:val="22"/>
              </w:rPr>
              <w:t xml:space="preserve">Esto no invalida el protocolo. Pero sí significa que la ventana de lanzamiento debe coordinarse</w:t>
            </w:r>
          </w:p>
          <w:p>
            <w:pPr>
              <w:spacing w:before="40" w:after="40"/>
            </w:pPr>
            <w:r>
              <w:rPr>
                <w:rFonts w:ascii="Arial" w:cs="Arial" w:eastAsia="Arial" w:hAnsi="Arial"/>
                <w:color w:val="1A3A5C"/>
                <w:sz w:val="22"/>
                <w:szCs w:val="22"/>
              </w:rPr>
              <w:t xml:space="preserve">con el ciclo de mercado de la misma manera que cualquier IPO seria coordina con el ciclo económico.</w:t>
            </w:r>
          </w:p>
        </w:tc>
      </w:tr>
    </w:tbl>
    <w:p>
      <w:pPr>
        <w:spacing w:before="60" w:after="60"/>
      </w:pPr>
      <w:r>
        <w:t xml:space="preserve"/>
      </w:r>
    </w:p>
    <w:p>
      <w:pPr>
        <w:spacing w:before="280" w:after="60"/>
        <w:jc w:val="center"/>
      </w:pPr>
      <w:r>
        <w:rPr>
          <w:rFonts w:ascii="Arial" w:cs="Arial" w:eastAsia="Arial" w:hAnsi="Arial"/>
          <w:i/>
          <w:iCs/>
          <w:color w:val="888888"/>
          <w:sz w:val="20"/>
          <w:szCs w:val="20"/>
        </w:rPr>
        <w:t xml:space="preserve">— Fin de la Simulación Monte Carlo —</w:t>
      </w:r>
    </w:p>
    <w:p>
      <w:pPr>
        <w:spacing w:before="0"/>
        <w:jc w:val="center"/>
      </w:pPr>
      <w:r>
        <w:rPr>
          <w:rFonts w:ascii="Arial" w:cs="Arial" w:eastAsia="Arial" w:hAnsi="Arial"/>
          <w:color w:val="BBBBBB"/>
          <w:sz w:val="18"/>
          <w:szCs w:val="18"/>
        </w:rPr>
        <w:t xml:space="preserve">LUKASH Protocol v2.1 | 5,000 iteraciones × 1,825 días | Cadenas de Markov | Marzo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8"/>
        <w:szCs w:val="18"/>
      </w:rPr>
      <w:t xml:space="preserve">LUKASH Protocol — Simulación Monte Carlo | 5,000 iteraciones × 5 años | Marzo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2026-03-01T23:46:57.641Z</dcterms:created>
  <dcterms:modified xsi:type="dcterms:W3CDTF">2026-03-01T23:46:57.642Z</dcterms:modified>
</cp:coreProperties>
</file>

<file path=docProps/custom.xml><?xml version="1.0" encoding="utf-8"?>
<Properties xmlns="http://schemas.openxmlformats.org/officeDocument/2006/custom-properties" xmlns:vt="http://schemas.openxmlformats.org/officeDocument/2006/docPropsVTypes"/>
</file>