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A3A5C"/>
          <w:sz w:val="48"/>
          <w:szCs w:val="48"/>
        </w:rPr>
        <w:t xml:space="preserve">LUKASH PROTOCOL v2.3</w:t>
      </w:r>
    </w:p>
    <w:p>
      <w:pPr>
        <w:spacing w:before="60" w:after="120"/>
        <w:jc w:val="center"/>
      </w:pPr>
      <w:r>
        <w:rPr>
          <w:rFonts w:ascii="Arial" w:cs="Arial" w:eastAsia="Arial" w:hAnsi="Arial"/>
          <w:b/>
          <w:bCs/>
          <w:color w:val="2E75B6"/>
          <w:sz w:val="30"/>
          <w:szCs w:val="30"/>
        </w:rPr>
        <w:t xml:space="preserve">SIMULACIÓN MONTE CARLO — ACTUALIZACIÓN v2.3</w:t>
      </w:r>
    </w:p>
    <w:p>
      <w:pPr>
        <w:spacing w:before="0" w:after="80"/>
        <w:jc w:val="center"/>
      </w:pPr>
      <w:r>
        <w:rPr>
          <w:rFonts w:ascii="Arial" w:cs="Arial" w:eastAsia="Arial" w:hAnsi="Arial"/>
          <w:i/>
          <w:iCs/>
          <w:color w:val="444444"/>
          <w:sz w:val="22"/>
          <w:szCs w:val="22"/>
        </w:rPr>
        <w:t xml:space="preserve">Análisis Probabilístico de Estabilidad Sistémica — Horizonte 5 Años</w:t>
      </w:r>
    </w:p>
    <w:p>
      <w:pPr>
        <w:spacing w:before="0" w:after="120"/>
        <w:jc w:val="center"/>
      </w:pPr>
      <w:r>
        <w:rPr>
          <w:rFonts w:ascii="Arial" w:cs="Arial" w:eastAsia="Arial" w:hAnsi="Arial"/>
          <w:color w:val="444444"/>
          <w:sz w:val="20"/>
          <w:szCs w:val="20"/>
        </w:rPr>
        <w:t xml:space="preserve">5,000 iteraciones  |  4 regímenes de mercado  |  1,825 días simulados  |  Cadenas de Markov</w:t>
      </w:r>
    </w:p>
    <w:p>
      <w:pPr>
        <w:spacing w:before="40" w:after="40"/>
      </w:pPr>
      <w:r>
        <w:t xml:space="preserve"/>
      </w:r>
    </w:p>
    <w:p>
      <w:pPr>
        <w:pBdr>
          <w:top w:val="single" w:color="2E75B6" w:sz="4" w:space="1"/>
          <w:left w:val="single" w:color="2E75B6" w:sz="4" w:space="1"/>
          <w:bottom w:val="none" w:sz="0" w:space="0" w:color="auto"/>
          <w:right w:val="single" w:color="2E75B6" w:sz="4" w:space="1"/>
        </w:pBdr>
        <w:shd w:fill="EBF5FB" w:val="clear"/>
        <w:spacing w:before="120" w:after="40"/>
        <w:ind w:left="200" w:right="200"/>
      </w:pPr>
      <w:r>
        <w:rPr>
          <w:rFonts w:ascii="Arial" w:cs="Arial" w:eastAsia="Arial" w:hAnsi="Arial"/>
          <w:color w:val="222222"/>
          <w:sz w:val="20"/>
          <w:szCs w:val="20"/>
        </w:rPr>
        <w:t xml:space="preserve">CAMBIOS RESPECTO A v2.1:</w:t>
      </w:r>
    </w:p>
    <w:p>
      <w:pPr>
        <w:pBdr>
          <w:top w:val="none" w:sz="0" w:space="0" w:color="auto"/>
          <w:left w:val="single" w:color="2E75B6" w:sz="4" w:space="1"/>
          <w:bottom w:val="none" w:sz="0" w:space="0" w:color="auto"/>
          <w:right w:val="single" w:color="2E75B6" w:sz="4" w:space="1"/>
        </w:pBdr>
        <w:shd w:fill="EBF5FB" w:val="clear"/>
        <w:spacing w:before="40" w:after="40"/>
        <w:ind w:left="200" w:right="200"/>
      </w:pPr>
      <w:r>
        <w:rPr>
          <w:rFonts w:ascii="Arial" w:cs="Arial" w:eastAsia="Arial" w:hAnsi="Arial"/>
          <w:color w:val="222222"/>
          <w:sz w:val="20"/>
          <w:szCs w:val="20"/>
        </w:rPr>
        <w:t xml:space="preserve">• Vault v2.3: cBTC 35% | SOL 15% | SOL/LST (JitoSOL+mSOL) 20% | USDC reserva 25% | USDC lending 5% | PYTH+JTO 5%</w:t>
      </w:r>
    </w:p>
    <w:p>
      <w:pPr>
        <w:pBdr>
          <w:top w:val="none" w:sz="0" w:space="0" w:color="auto"/>
          <w:left w:val="single" w:color="2E75B6" w:sz="4" w:space="1"/>
          <w:bottom w:val="none" w:sz="0" w:space="0" w:color="auto"/>
          <w:right w:val="single" w:color="2E75B6" w:sz="4" w:space="1"/>
        </w:pBdr>
        <w:shd w:fill="EBF5FB" w:val="clear"/>
        <w:spacing w:before="40" w:after="40"/>
        <w:ind w:left="200" w:right="200"/>
      </w:pPr>
      <w:r>
        <w:rPr>
          <w:rFonts w:ascii="Arial" w:cs="Arial" w:eastAsia="Arial" w:hAnsi="Arial"/>
          <w:color w:val="222222"/>
          <w:sz w:val="20"/>
          <w:szCs w:val="20"/>
        </w:rPr>
        <w:t xml:space="preserve">• Eliminados: ETH/wETH (riesgo bridge Wormhole) y LINK (sin alineación con stack técnico)</w:t>
      </w:r>
    </w:p>
    <w:p>
      <w:pPr>
        <w:pBdr>
          <w:top w:val="none" w:sz="0" w:space="0" w:color="auto"/>
          <w:left w:val="single" w:color="2E75B6" w:sz="4" w:space="1"/>
          <w:bottom w:val="none" w:sz="0" w:space="0" w:color="auto"/>
          <w:right w:val="single" w:color="2E75B6" w:sz="4" w:space="1"/>
        </w:pBdr>
        <w:shd w:fill="EBF5FB" w:val="clear"/>
        <w:spacing w:before="40" w:after="40"/>
        <w:ind w:left="200" w:right="200"/>
      </w:pPr>
      <w:r>
        <w:rPr>
          <w:rFonts w:ascii="Arial" w:cs="Arial" w:eastAsia="Arial" w:hAnsi="Arial"/>
          <w:color w:val="222222"/>
          <w:sz w:val="20"/>
          <w:szCs w:val="20"/>
        </w:rPr>
        <w:t xml:space="preserve">• Módulo LUKAI contra-cíclico: asignación de nuevas entradas según régimen BEAR/NEUTRAL/BULL</w:t>
      </w:r>
    </w:p>
    <w:p>
      <w:pPr>
        <w:pBdr>
          <w:top w:val="none" w:sz="0" w:space="0" w:color="auto"/>
          <w:left w:val="single" w:color="2E75B6" w:sz="4" w:space="1"/>
          <w:bottom w:val="none" w:sz="0" w:space="0" w:color="auto"/>
          <w:right w:val="single" w:color="2E75B6" w:sz="4" w:space="1"/>
        </w:pBdr>
        <w:shd w:fill="EBF5FB" w:val="clear"/>
        <w:spacing w:before="40" w:after="40"/>
        <w:ind w:left="200" w:right="200"/>
      </w:pPr>
      <w:r>
        <w:rPr>
          <w:rFonts w:ascii="Arial" w:cs="Arial" w:eastAsia="Arial" w:hAnsi="Arial"/>
          <w:color w:val="222222"/>
          <w:sz w:val="20"/>
          <w:szCs w:val="20"/>
        </w:rPr>
        <w:t xml:space="preserve">• USDC lending activo (Kamino/Marginfi): yield adicional 4–8% sobre 5% del Vault</w:t>
      </w:r>
    </w:p>
    <w:p>
      <w:pPr>
        <w:pBdr>
          <w:top w:val="none" w:sz="0" w:space="0" w:color="auto"/>
          <w:left w:val="single" w:color="2E75B6" w:sz="4" w:space="1"/>
          <w:bottom w:val="single" w:color="2E75B6" w:sz="4" w:space="1"/>
          <w:right w:val="single" w:color="2E75B6" w:sz="4" w:space="1"/>
        </w:pBdr>
        <w:shd w:fill="EBF5FB" w:val="clear"/>
        <w:spacing w:before="40" w:after="120"/>
        <w:ind w:left="200" w:right="200"/>
      </w:pPr>
      <w:r>
        <w:rPr>
          <w:rFonts w:ascii="Arial" w:cs="Arial" w:eastAsia="Arial" w:hAnsi="Arial"/>
          <w:color w:val="222222"/>
          <w:sz w:val="20"/>
          <w:szCs w:val="20"/>
        </w:rPr>
        <w:t xml:space="preserve">• 4 Frentes Estratégicos de lanzamiento integrados en parámetros de volumen inicial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(5 años)</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P(Vault ≥ $25M)</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P(Motor B2 activo)</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Riesgo de Ruina Total</w:t>
            </w:r>
          </w:p>
        </w:tc>
      </w:tr>
      <w:tr>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$37.2M</w:t>
            </w:r>
          </w:p>
          <w:p>
            <w:pPr>
              <w:spacing w:before="30" w:after="0"/>
            </w:pPr>
            <w:r>
              <w:rPr>
                <w:rFonts w:ascii="Arial" w:cs="Arial" w:eastAsia="Arial" w:hAnsi="Arial"/>
                <w:b w:val="false"/>
                <w:bCs w:val="false"/>
                <w:color w:val="222222"/>
                <w:sz w:val="20"/>
                <w:szCs w:val="20"/>
              </w:rPr>
              <w:t xml:space="preserve">rango P25–P75: $18.9M–$67.1M</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99.7%</w:t>
            </w:r>
          </w:p>
          <w:p>
            <w:pPr>
              <w:spacing w:before="30" w:after="0"/>
            </w:pPr>
            <w:r>
              <w:rPr>
                <w:rFonts w:ascii="Arial" w:cs="Arial" w:eastAsia="Arial" w:hAnsi="Arial"/>
                <w:b w:val="false"/>
                <w:bCs w:val="false"/>
                <w:color w:val="222222"/>
                <w:sz w:val="20"/>
                <w:szCs w:val="20"/>
              </w:rPr>
              <w:t xml:space="preserve">en horizonte de 5 años</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86.1%</w:t>
            </w:r>
          </w:p>
          <w:p>
            <w:pPr>
              <w:spacing w:before="30" w:after="0"/>
            </w:pPr>
            <w:r>
              <w:rPr>
                <w:rFonts w:ascii="Arial" w:cs="Arial" w:eastAsia="Arial" w:hAnsi="Arial"/>
                <w:b w:val="false"/>
                <w:bCs w:val="false"/>
                <w:color w:val="222222"/>
                <w:sz w:val="20"/>
                <w:szCs w:val="20"/>
              </w:rPr>
              <w:t xml:space="preserve">antes del año 2</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0.0%</w:t>
            </w:r>
          </w:p>
          <w:p>
            <w:pPr>
              <w:spacing w:before="30" w:after="0"/>
            </w:pPr>
            <w:r>
              <w:rPr>
                <w:rFonts w:ascii="Arial" w:cs="Arial" w:eastAsia="Arial" w:hAnsi="Arial"/>
                <w:b w:val="false"/>
                <w:bCs w:val="false"/>
                <w:color w:val="222222"/>
                <w:sz w:val="20"/>
                <w:szCs w:val="20"/>
              </w:rPr>
              <w:t xml:space="preserve">vault &lt; 10% del capital inicial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Objetivo</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Espiral de Muerte</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Mediana Activación B2</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Tokens Quemados (5Y)</w:t>
            </w:r>
          </w:p>
        </w:tc>
      </w:tr>
      <w:tr>
        <w:tc>
          <w:tcPr>
            <w:tcW w:type="dxa" w:w="2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~Año 1</w:t>
            </w:r>
          </w:p>
          <w:p>
            <w:pPr>
              <w:spacing w:before="30" w:after="0"/>
            </w:pPr>
            <w:r>
              <w:rPr>
                <w:rFonts w:ascii="Arial" w:cs="Arial" w:eastAsia="Arial" w:hAnsi="Arial"/>
                <w:b w:val="false"/>
                <w:bCs w:val="false"/>
                <w:color w:val="222222"/>
                <w:sz w:val="20"/>
                <w:szCs w:val="20"/>
              </w:rPr>
              <w:t xml:space="preserve">3.3B tokens en mediana</w:t>
            </w:r>
          </w:p>
        </w:tc>
        <w:tc>
          <w:tcPr>
            <w:tcW w:type="dxa" w:w="2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1.4%</w:t>
            </w:r>
          </w:p>
          <w:p>
            <w:pPr>
              <w:spacing w:before="30" w:after="0"/>
            </w:pPr>
            <w:r>
              <w:rPr>
                <w:rFonts w:ascii="Arial" w:cs="Arial" w:eastAsia="Arial" w:hAnsi="Arial"/>
                <w:b w:val="false"/>
                <w:bCs w:val="false"/>
                <w:color w:val="222222"/>
                <w:sz w:val="20"/>
                <w:szCs w:val="20"/>
              </w:rPr>
              <w:t xml:space="preserve">prob. de colapso en espiral (↓ vs 1.6% v2.1)</w:t>
            </w:r>
          </w:p>
        </w:tc>
        <w:tc>
          <w:tcPr>
            <w:tcW w:type="dxa" w:w="2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341 días</w:t>
            </w:r>
          </w:p>
          <w:p>
            <w:pPr>
              <w:spacing w:before="30" w:after="0"/>
            </w:pPr>
            <w:r>
              <w:rPr>
                <w:rFonts w:ascii="Arial" w:cs="Arial" w:eastAsia="Arial" w:hAnsi="Arial"/>
                <w:b w:val="false"/>
                <w:bCs w:val="false"/>
                <w:color w:val="222222"/>
                <w:sz w:val="20"/>
                <w:szCs w:val="20"/>
              </w:rPr>
              <w:t xml:space="preserve">~11 meses desde lanzamiento (↓ vs 357 v2.1)</w:t>
            </w:r>
          </w:p>
        </w:tc>
        <w:tc>
          <w:tcPr>
            <w:tcW w:type="dxa" w:w="2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30"/>
            </w:pPr>
            <w:r>
              <w:rPr>
                <w:rFonts w:ascii="Arial" w:cs="Arial" w:eastAsia="Arial" w:hAnsi="Arial"/>
                <w:b w:val="false"/>
                <w:bCs w:val="false"/>
                <w:color w:val="222222"/>
                <w:sz w:val="20"/>
                <w:szCs w:val="20"/>
              </w:rPr>
              <w:t xml:space="preserve">16.4B</w:t>
            </w:r>
          </w:p>
          <w:p>
            <w:pPr>
              <w:spacing w:before="30" w:after="0"/>
            </w:pPr>
            <w:r>
              <w:rPr>
                <w:rFonts w:ascii="Arial" w:cs="Arial" w:eastAsia="Arial" w:hAnsi="Arial"/>
                <w:b w:val="false"/>
                <w:bCs w:val="false"/>
                <w:color w:val="222222"/>
                <w:sz w:val="20"/>
                <w:szCs w:val="20"/>
              </w:rPr>
              <w:t xml:space="preserve">P50 acumulado — meta: 6.7B</w:t>
            </w:r>
          </w:p>
        </w:tc>
      </w:tr>
    </w:tbl>
    <w:p>
      <w:pPr>
        <w:spacing w:before="60" w:after="60"/>
      </w:pPr>
      <w:r>
        <w:t xml:space="preserve"/>
      </w:r>
    </w:p>
    <w:p>
      <w:pPr>
        <w:spacing w:before="0" w:after="120"/>
      </w:pPr>
      <w:r>
        <w:rPr>
          <w:rFonts w:ascii="Arial" w:cs="Arial" w:eastAsia="Arial" w:hAnsi="Arial"/>
          <w:i/>
          <w:iCs/>
          <w:color w:val="444444"/>
          <w:sz w:val="19"/>
          <w:szCs w:val="19"/>
        </w:rPr>
        <w:t xml:space="preserve">⚠  El precio de $LUKA no se modela como métrica de simulación confiable — ver Sección 7 para explicación técnica.</w:t>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1. METODOLOGÍA DE LA SIMULACIÓN</w:t>
      </w:r>
    </w:p>
    <w:p>
      <w:pPr>
        <w:spacing w:before="80" w:after="100"/>
        <w:jc w:val="left"/>
      </w:pPr>
      <w:r>
        <w:rPr>
          <w:rFonts w:ascii="Arial" w:cs="Arial" w:eastAsia="Arial" w:hAnsi="Arial"/>
          <w:b w:val="false"/>
          <w:bCs w:val="false"/>
          <w:i w:val="false"/>
          <w:iCs w:val="false"/>
          <w:color w:val="222222"/>
          <w:sz w:val="22"/>
          <w:szCs w:val="22"/>
        </w:rPr>
        <w:t xml:space="preserve">La simulación corre 5,000 trayectorias independientes de 1,825 días (5 años) cada una, con transiciones de régimen de mercado según cadenas de Markov. Los resultados se reportan como distribuciones de probabilidad, no como escenarios únicos. La versión v2.3 actualiza los parámetros del Vault, activa el módulo contra-cíclico de LUKAI e incorpora el yield del USDC lending como fuente adicional de crecimiento.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520"/>
        <w:gridCol w:w="1720"/>
      </w:tblGrid>
      <w:tr>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PARÁMETRO</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BULL</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NEUTRAL</w:t>
            </w:r>
          </w:p>
        </w:tc>
        <w:tc>
          <w:tcPr>
            <w:tcW w:type="dxa" w:w="15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BEAR</w:t>
            </w:r>
          </w:p>
        </w:tc>
        <w:tc>
          <w:tcPr>
            <w:tcW w:type="dxa" w:w="17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CRASH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Volumen Motor A (diario)</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$10M–$23M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$2M–$8M</w:t>
            </w:r>
          </w:p>
        </w:tc>
        <w:tc>
          <w:tcPr>
            <w:tcW w:type="dxa" w:w="15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$0.3M–$2.5M</w:t>
            </w:r>
          </w:p>
        </w:tc>
        <w:tc>
          <w:tcPr>
            <w:tcW w:type="dxa" w:w="17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$0–$0.3M</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Drift BTC diario</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+0.30%</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+0.05%</w:t>
            </w:r>
          </w:p>
        </w:tc>
        <w:tc>
          <w:tcPr>
            <w:tcW w:type="dxa" w:w="15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−0.20%</w:t>
            </w:r>
          </w:p>
        </w:tc>
        <w:tc>
          <w:tcPr>
            <w:tcW w:type="dxa" w:w="17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−0.80%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Volatilidad BTC diaria</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w:t>
            </w:r>
          </w:p>
        </w:tc>
        <w:tc>
          <w:tcPr>
            <w:tcW w:type="dxa" w:w="15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w:t>
            </w:r>
          </w:p>
        </w:tc>
        <w:tc>
          <w:tcPr>
            <w:tcW w:type="dxa" w:w="17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8%</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Tasa adopción App (diaria)</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0.80%</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0.40%</w:t>
            </w:r>
          </w:p>
        </w:tc>
        <w:tc>
          <w:tcPr>
            <w:tcW w:type="dxa" w:w="15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0.10%</w:t>
            </w:r>
          </w:p>
        </w:tc>
        <w:tc>
          <w:tcPr>
            <w:tcW w:type="dxa" w:w="17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Yield USDC lending activo</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5.5%</w:t>
            </w:r>
          </w:p>
        </w:tc>
        <w:tc>
          <w:tcPr>
            <w:tcW w:type="dxa" w:w="15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4.0%</w:t>
            </w:r>
          </w:p>
        </w:tc>
        <w:tc>
          <w:tcPr>
            <w:tcW w:type="dxa" w:w="17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4.0%</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Módulo LUKAI: % activos volátiles nuevas entradas</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40% volátil / 60% USDC</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75% / 25%</w:t>
            </w:r>
          </w:p>
        </w:tc>
        <w:tc>
          <w:tcPr>
            <w:tcW w:type="dxa" w:w="1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70% / 30%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70% / 30%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P(shock diario)</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w:t>
            </w:r>
          </w:p>
        </w:tc>
        <w:tc>
          <w:tcPr>
            <w:tcW w:type="dxa" w:w="15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w:t>
            </w:r>
          </w:p>
        </w:tc>
        <w:tc>
          <w:tcPr>
            <w:tcW w:type="dxa" w:w="17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Peso de probabilidad</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25%</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40%</w:t>
            </w:r>
          </w:p>
        </w:tc>
        <w:tc>
          <w:tcPr>
            <w:tcW w:type="dxa" w:w="1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25%</w:t>
            </w:r>
          </w:p>
        </w:tc>
        <w:tc>
          <w:tcPr>
            <w:tcW w:type="dxa" w:w="1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w:t>
            </w:r>
          </w:p>
        </w:tc>
      </w:tr>
    </w:tbl>
    <w:p>
      <w:pPr>
        <w:spacing w:before="120" w:after="80"/>
      </w:pPr>
      <w:r>
        <w:t xml:space="preserve"/>
      </w:r>
    </w:p>
    <w:p>
      <w:pPr>
        <w:spacing w:before="160" w:after="80"/>
      </w:pPr>
      <w:r>
        <w:rPr>
          <w:rFonts w:ascii="Arial" w:cs="Arial" w:eastAsia="Arial" w:hAnsi="Arial"/>
          <w:b/>
          <w:bCs/>
          <w:color w:val="2E75B6"/>
          <w:sz w:val="22"/>
          <w:szCs w:val="22"/>
        </w:rPr>
        <w:t xml:space="preserve">Variables Estocásticas Clave — Actualizaciones v2.3</w:t>
      </w:r>
    </w:p>
    <w:p>
      <w:pPr>
        <w:spacing w:before="50" w:after="50"/>
        <w:ind w:left="280"/>
      </w:pPr>
      <w:r>
        <w:rPr>
          <w:rFonts w:ascii="Arial" w:cs="Arial" w:eastAsia="Arial" w:hAnsi="Arial"/>
          <w:b/>
          <w:bCs/>
          <w:color w:val="1A3A5C"/>
          <w:sz w:val="20"/>
          <w:szCs w:val="20"/>
        </w:rPr>
        <w:t xml:space="preserve">Correlaciones Vault v2.3: </w:t>
      </w:r>
      <w:r>
        <w:rPr>
          <w:rFonts w:ascii="Arial" w:cs="Arial" w:eastAsia="Arial" w:hAnsi="Arial"/>
          <w:color w:val="444444"/>
          <w:sz w:val="20"/>
          <w:szCs w:val="20"/>
        </w:rPr>
        <w:t xml:space="preserve">cBTC=1.00 | SOL=0.80 | SOL/LST=0.75 | USDC=0.00 | USDC lending=0.00 | PYTH+JTO=0.85 vs BTC. ETH/wETH y LINK eliminados del modelo.</w:t>
      </w:r>
    </w:p>
    <w:p>
      <w:pPr>
        <w:spacing w:before="50" w:after="50"/>
        <w:ind w:left="280"/>
      </w:pPr>
      <w:r>
        <w:rPr>
          <w:rFonts w:ascii="Arial" w:cs="Arial" w:eastAsia="Arial" w:hAnsi="Arial"/>
          <w:b/>
          <w:bCs/>
          <w:color w:val="1A3A5C"/>
          <w:sz w:val="20"/>
          <w:szCs w:val="20"/>
        </w:rPr>
        <w:t xml:space="preserve">Yield base del Vault: </w:t>
      </w:r>
      <w:r>
        <w:rPr>
          <w:rFonts w:ascii="Arial" w:cs="Arial" w:eastAsia="Arial" w:hAnsi="Arial"/>
          <w:color w:val="444444"/>
          <w:sz w:val="20"/>
          <w:szCs w:val="20"/>
        </w:rPr>
        <w:t xml:space="preserve">8.2% anual base (LST JitoSOL+mSOL 6–8% + USDC lending 4–8% sobre 5% del Vault). Incremento vs 6% en v2.1.</w:t>
      </w:r>
    </w:p>
    <w:p>
      <w:pPr>
        <w:spacing w:before="50" w:after="50"/>
        <w:ind w:left="280"/>
      </w:pPr>
      <w:r>
        <w:rPr>
          <w:rFonts w:ascii="Arial" w:cs="Arial" w:eastAsia="Arial" w:hAnsi="Arial"/>
          <w:b/>
          <w:bCs/>
          <w:color w:val="1A3A5C"/>
          <w:sz w:val="20"/>
          <w:szCs w:val="20"/>
        </w:rPr>
        <w:t xml:space="preserve">Módulo contra-cíclico LUKAI: </w:t>
      </w:r>
      <w:r>
        <w:rPr>
          <w:rFonts w:ascii="Arial" w:cs="Arial" w:eastAsia="Arial" w:hAnsi="Arial"/>
          <w:color w:val="444444"/>
          <w:sz w:val="20"/>
          <w:szCs w:val="20"/>
        </w:rPr>
        <w:t xml:space="preserve">Activo sobre flujo de nuevas entradas. En BULL: 40% volátil / 60% USDC (acumula liquidez). En NEUTRAL: 75% / 25% (estándar). En BEAR/CRASH: 70% / 30% (compra en descuento).</w:t>
      </w:r>
    </w:p>
    <w:p>
      <w:pPr>
        <w:spacing w:before="50" w:after="50"/>
        <w:ind w:left="280"/>
      </w:pPr>
      <w:r>
        <w:rPr>
          <w:rFonts w:ascii="Arial" w:cs="Arial" w:eastAsia="Arial" w:hAnsi="Arial"/>
          <w:b/>
          <w:bCs/>
          <w:color w:val="1A3A5C"/>
          <w:sz w:val="20"/>
          <w:szCs w:val="20"/>
        </w:rPr>
        <w:t xml:space="preserve">USDC lending (5% del Vault): </w:t>
      </w:r>
      <w:r>
        <w:rPr>
          <w:rFonts w:ascii="Arial" w:cs="Arial" w:eastAsia="Arial" w:hAnsi="Arial"/>
          <w:color w:val="444444"/>
          <w:sz w:val="20"/>
          <w:szCs w:val="20"/>
        </w:rPr>
        <w:t xml:space="preserve">Yield 4–8% anual sobre la posición en Kamino/Marginfi. En Vault de $50M genera $100K–$200K anuales adicionales sobre capital ocioso. Riesgo: liquidez de salida ≤ 24h, modelado con delay de 1 día en escenarios de estrés.</w:t>
      </w:r>
    </w:p>
    <w:p>
      <w:pPr>
        <w:spacing w:before="50" w:after="50"/>
        <w:ind w:left="280"/>
      </w:pPr>
      <w:r>
        <w:rPr>
          <w:rFonts w:ascii="Arial" w:cs="Arial" w:eastAsia="Arial" w:hAnsi="Arial"/>
          <w:b/>
          <w:bCs/>
          <w:color w:val="1A3A5C"/>
          <w:sz w:val="20"/>
          <w:szCs w:val="20"/>
        </w:rPr>
        <w:t xml:space="preserve">Volumen Motor A: </w:t>
      </w:r>
      <w:r>
        <w:rPr>
          <w:rFonts w:ascii="Arial" w:cs="Arial" w:eastAsia="Arial" w:hAnsi="Arial"/>
          <w:color w:val="444444"/>
          <w:sz w:val="20"/>
          <w:szCs w:val="20"/>
        </w:rPr>
        <w:t xml:space="preserve">Log-normal con media según régimen. En escenario con 4 Frentes Estratégicos activos: piso garantizado de $2M–$5M diarios en primeros 90 días (market maker deal).</w:t>
      </w:r>
    </w:p>
    <w:p>
      <w:pPr>
        <w:spacing w:before="50" w:after="50"/>
        <w:ind w:left="280"/>
      </w:pPr>
      <w:r>
        <w:rPr>
          <w:rFonts w:ascii="Arial" w:cs="Arial" w:eastAsia="Arial" w:hAnsi="Arial"/>
          <w:b/>
          <w:bCs/>
          <w:color w:val="1A3A5C"/>
          <w:sz w:val="20"/>
          <w:szCs w:val="20"/>
        </w:rPr>
        <w:t xml:space="preserve">Transiciones de régimen: </w:t>
      </w:r>
      <w:r>
        <w:rPr>
          <w:rFonts w:ascii="Arial" w:cs="Arial" w:eastAsia="Arial" w:hAnsi="Arial"/>
          <w:color w:val="444444"/>
          <w:sz w:val="20"/>
          <w:szCs w:val="20"/>
        </w:rPr>
        <w:t xml:space="preserve">Cadena de Markov, duración promedio 60 días por régimen. Sin cambio respecto a v2.1.</w:t>
      </w:r>
    </w:p>
    <w:p>
      <w:pPr>
        <w:spacing w:before="50" w:after="50"/>
        <w:ind w:left="280"/>
      </w:pPr>
      <w:r>
        <w:rPr>
          <w:rFonts w:ascii="Arial" w:cs="Arial" w:eastAsia="Arial" w:hAnsi="Arial"/>
          <w:b/>
          <w:bCs/>
          <w:color w:val="1A3A5C"/>
          <w:sz w:val="20"/>
          <w:szCs w:val="20"/>
        </w:rPr>
        <w:t xml:space="preserve">Throttle dinámico: </w:t>
      </w:r>
      <w:r>
        <w:rPr>
          <w:rFonts w:ascii="Arial" w:cs="Arial" w:eastAsia="Arial" w:hAnsi="Arial"/>
          <w:color w:val="444444"/>
          <w:sz w:val="20"/>
          <w:szCs w:val="20"/>
        </w:rPr>
        <w:t xml:space="preserve">Activo en modo B2. ACELERADO 125% / NORMAL 100% / CONSERVADOR 60% / DEFENSIVO 25% según precio vs EMA30.</w:t>
      </w:r>
    </w:p>
    <w:p>
      <w:pPr>
        <w:spacing w:before="80" w:after="40"/>
      </w:pPr>
      <w:r>
        <w:t xml:space="preserve"/>
      </w:r>
    </w:p>
    <w:p>
      <w:pPr>
        <w:pBdr>
          <w:top w:val="single" w:color="9A6B00" w:sz="4" w:space="1"/>
          <w:left w:val="single" w:color="9A6B00" w:sz="4" w:space="1"/>
          <w:bottom w:val="none" w:sz="0" w:space="0" w:color="auto"/>
          <w:right w:val="single" w:color="9A6B00" w:sz="4" w:space="1"/>
        </w:pBdr>
        <w:shd w:fill="FEF9E7" w:val="clear"/>
        <w:spacing w:before="120" w:after="40"/>
        <w:ind w:left="200" w:right="200"/>
      </w:pPr>
      <w:r>
        <w:rPr>
          <w:rFonts w:ascii="Arial" w:cs="Arial" w:eastAsia="Arial" w:hAnsi="Arial"/>
          <w:color w:val="222222"/>
          <w:sz w:val="20"/>
          <w:szCs w:val="20"/>
        </w:rPr>
        <w:t xml:space="preserve">NOTA METODOLÓGICA IMPORTANTE:</w:t>
      </w:r>
    </w:p>
    <w:p>
      <w:pPr>
        <w:pBdr>
          <w:top w:val="none" w:sz="0" w:space="0" w:color="auto"/>
          <w:left w:val="single" w:color="9A6B00" w:sz="4" w:space="1"/>
          <w:bottom w:val="none" w:sz="0" w:space="0" w:color="auto"/>
          <w:right w:val="single" w:color="9A6B00" w:sz="4" w:space="1"/>
        </w:pBdr>
        <w:shd w:fill="FEF9E7" w:val="clear"/>
        <w:spacing w:before="40" w:after="40"/>
        <w:ind w:left="200" w:right="200"/>
      </w:pPr>
      <w:r>
        <w:rPr>
          <w:rFonts w:ascii="Arial" w:cs="Arial" w:eastAsia="Arial" w:hAnsi="Arial"/>
          <w:color w:val="222222"/>
          <w:sz w:val="20"/>
          <w:szCs w:val="20"/>
        </w:rPr>
        <w:t xml:space="preserve">El modelo de precio de $LUKA usa un proceso multiplicativo de sentimiento que acumula retornos exponencialmente.</w:t>
      </w:r>
    </w:p>
    <w:p>
      <w:pPr>
        <w:pBdr>
          <w:top w:val="none" w:sz="0" w:space="0" w:color="auto"/>
          <w:left w:val="single" w:color="9A6B00" w:sz="4" w:space="1"/>
          <w:bottom w:val="none" w:sz="0" w:space="0" w:color="auto"/>
          <w:right w:val="single" w:color="9A6B00" w:sz="4" w:space="1"/>
        </w:pBdr>
        <w:shd w:fill="FEF9E7" w:val="clear"/>
        <w:spacing w:before="40" w:after="40"/>
        <w:ind w:left="200" w:right="200"/>
      </w:pPr>
      <w:r>
        <w:rPr>
          <w:rFonts w:ascii="Arial" w:cs="Arial" w:eastAsia="Arial" w:hAnsi="Arial"/>
          <w:color w:val="222222"/>
          <w:sz w:val="20"/>
          <w:szCs w:val="20"/>
        </w:rPr>
        <w:t xml:space="preserve">Sin mean-reversion explícita, genera overflow en horizontes largos (años 3–5).</w:t>
      </w:r>
    </w:p>
    <w:p>
      <w:pPr>
        <w:pBdr>
          <w:top w:val="none" w:sz="0" w:space="0" w:color="auto"/>
          <w:left w:val="single" w:color="9A6B00" w:sz="4" w:space="1"/>
          <w:bottom w:val="none" w:sz="0" w:space="0" w:color="auto"/>
          <w:right w:val="single" w:color="9A6B00" w:sz="4" w:space="1"/>
        </w:pBdr>
        <w:shd w:fill="FEF9E7" w:val="clear"/>
        <w:spacing w:before="40" w:after="40"/>
        <w:ind w:left="200" w:right="200"/>
      </w:pPr>
      <w:r>
        <w:rPr>
          <w:rFonts w:ascii="Arial" w:cs="Arial" w:eastAsia="Arial" w:hAnsi="Arial"/>
          <w:color w:val="222222"/>
          <w:sz w:val="20"/>
          <w:szCs w:val="20"/>
        </w:rPr>
        <w:t xml:space="preserve">Por este motivo, el PRECIO NO SE REPORTA como métrica confiable de la simulación.</w:t>
      </w:r>
    </w:p>
    <w:p>
      <w:pPr>
        <w:pBdr>
          <w:top w:val="none" w:sz="0" w:space="0" w:color="auto"/>
          <w:left w:val="single" w:color="9A6B00" w:sz="4" w:space="1"/>
          <w:bottom w:val="none" w:sz="0" w:space="0" w:color="auto"/>
          <w:right w:val="single" w:color="9A6B00" w:sz="4" w:space="1"/>
        </w:pBdr>
        <w:shd w:fill="FEF9E7" w:val="clear"/>
        <w:spacing w:before="40" w:after="40"/>
        <w:ind w:left="200" w:right="200"/>
      </w:pPr>
      <w:r>
        <w:rPr>
          <w:rFonts w:ascii="Arial" w:cs="Arial" w:eastAsia="Arial" w:hAnsi="Arial"/>
          <w:color w:val="222222"/>
          <w:sz w:val="20"/>
          <w:szCs w:val="20"/>
        </w:rPr>
        <w:t xml:space="preserve">Las métricas confiables son: Vault, Supply, Reserva Operativa, Usuarios y Tokens Quemados.</w:t>
      </w:r>
    </w:p>
    <w:p>
      <w:pPr>
        <w:pBdr>
          <w:top w:val="none" w:sz="0" w:space="0" w:color="auto"/>
          <w:left w:val="single" w:color="9A6B00" w:sz="4" w:space="1"/>
          <w:bottom w:val="single" w:color="9A6B00" w:sz="4" w:space="1"/>
          <w:right w:val="single" w:color="9A6B00" w:sz="4" w:space="1"/>
        </w:pBdr>
        <w:shd w:fill="FEF9E7" w:val="clear"/>
        <w:spacing w:before="40" w:after="120"/>
        <w:ind w:left="200" w:right="200"/>
      </w:pPr>
      <w:r>
        <w:rPr>
          <w:rFonts w:ascii="Arial" w:cs="Arial" w:eastAsia="Arial" w:hAnsi="Arial"/>
          <w:color w:val="222222"/>
          <w:sz w:val="20"/>
          <w:szCs w:val="20"/>
        </w:rPr>
        <w:t xml:space="preserve">En la Sección 7 se explica cómo debe interpretarse el precio teórico del token.</w:t>
      </w:r>
    </w:p>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2. CRECIMIENTO DEL VAULT — DISTRIBUCIÓN DE RESULTADOS</w:t>
      </w:r>
    </w:p>
    <w:p>
      <w:pPr>
        <w:spacing w:before="80" w:after="100"/>
        <w:jc w:val="left"/>
      </w:pPr>
      <w:r>
        <w:rPr>
          <w:rFonts w:ascii="Arial" w:cs="Arial" w:eastAsia="Arial" w:hAnsi="Arial"/>
          <w:b w:val="false"/>
          <w:bCs w:val="false"/>
          <w:i w:val="false"/>
          <w:iCs w:val="false"/>
          <w:color w:val="222222"/>
          <w:sz w:val="22"/>
          <w:szCs w:val="22"/>
        </w:rPr>
        <w:t xml:space="preserve">El Vault KASH Core es la métrica estructural más importante del protocolo. Su crecimiento determina la activación del Motor B2 (K_min = $25M) y la solvencia del sistema a largo plazo. La composición v2.3 y el módulo LUKAI contra-cíclico elevan el valor esperado del Vault respecto al v2.1 en todos los percentiles.</w:t>
      </w:r>
    </w:p>
    <w:p>
      <w:pPr>
        <w:spacing w:before="240" w:after="120"/>
      </w:pPr>
      <w:r>
        <w:rPr>
          <w:rFonts w:ascii="Arial" w:cs="Arial" w:eastAsia="Arial" w:hAnsi="Arial"/>
          <w:b/>
          <w:bCs/>
          <w:color w:val="1A3A5C"/>
          <w:sz w:val="28"/>
          <w:szCs w:val="28"/>
        </w:rPr>
        <w:t xml:space="preserve">2.1 Distribución del Vault Final — Comparativa v2.1 vs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PERCENTIL</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AÑO 1</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AÑO 2</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AÑO 3</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AÑO 5</w:t>
            </w:r>
          </w:p>
        </w:tc>
        <w:tc>
          <w:tcPr>
            <w:tcW w:type="dxa" w:w="13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v2.1 (Año 5)</w:t>
            </w:r>
          </w:p>
        </w:tc>
      </w:tr>
      <w:tr>
        <w:tc>
          <w:tcPr>
            <w:tcW w:type="dxa" w:w="18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P5 (peor 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$5.7M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$5.3M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$5.5M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$5.8M</w:t>
            </w:r>
          </w:p>
        </w:tc>
        <w:tc>
          <w:tcPr>
            <w:tcW w:type="dxa" w:w="13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P25 (cuartil inf.)</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$11.2M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$15.5M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$17.3M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$18.9M</w:t>
            </w:r>
          </w:p>
        </w:tc>
        <w:tc>
          <w:tcPr>
            <w:tcW w:type="dxa" w:w="13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+6.2%</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P50 (mediana)</w:t>
            </w:r>
          </w:p>
        </w:tc>
        <w:tc>
          <w:tcPr>
            <w:tcW w:type="dxa" w:w="1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$20.9M</w:t>
            </w:r>
          </w:p>
        </w:tc>
        <w:tc>
          <w:tcPr>
            <w:tcW w:type="dxa" w:w="1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$29.6M</w:t>
            </w:r>
          </w:p>
        </w:tc>
        <w:tc>
          <w:tcPr>
            <w:tcW w:type="dxa" w:w="1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$33.7M</w:t>
            </w:r>
          </w:p>
        </w:tc>
        <w:tc>
          <w:tcPr>
            <w:tcW w:type="dxa" w:w="1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$37.2M</w:t>
            </w:r>
          </w:p>
        </w:tc>
        <w:tc>
          <w:tcPr>
            <w:tcW w:type="dxa" w:w="13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P75 (cuartil sup.)</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$35.2M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$52.0M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$59.2M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$67.1M</w:t>
            </w:r>
          </w:p>
        </w:tc>
        <w:tc>
          <w:tcPr>
            <w:tcW w:type="dxa" w:w="13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+6.2%</w:t>
            </w:r>
          </w:p>
        </w:tc>
      </w:tr>
      <w:tr>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P95 (mejor 5%)</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$71.6M</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$113.1M</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$131.8M</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$156.3M</w:t>
            </w:r>
          </w:p>
        </w:tc>
        <w:tc>
          <w:tcPr>
            <w:tcW w:type="dxa" w:w="13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+6.5%</w:t>
            </w:r>
          </w:p>
        </w:tc>
      </w:tr>
    </w:tbl>
    <w:p>
      <w:pPr>
        <w:spacing w:before="80" w:after="80"/>
      </w:pPr>
      <w:r>
        <w:t xml:space="preserve"/>
      </w:r>
    </w:p>
    <w:p>
      <w:pPr>
        <w:pBdr>
          <w:top w:val="single" w:color="196F3D" w:sz="4" w:space="1"/>
          <w:left w:val="single" w:color="196F3D" w:sz="4" w:space="1"/>
          <w:bottom w:val="none" w:sz="0" w:space="0" w:color="auto"/>
          <w:right w:val="single" w:color="196F3D" w:sz="4" w:space="1"/>
        </w:pBdr>
        <w:shd w:fill="EAFAF1" w:val="clear"/>
        <w:spacing w:before="120" w:after="40"/>
        <w:ind w:left="200" w:right="200"/>
      </w:pPr>
      <w:r>
        <w:rPr>
          <w:rFonts w:ascii="Arial" w:cs="Arial" w:eastAsia="Arial" w:hAnsi="Arial"/>
          <w:color w:val="222222"/>
          <w:sz w:val="20"/>
          <w:szCs w:val="20"/>
        </w:rPr>
        <w:t xml:space="preserve">DRIVER DEL INCREMENTO v2.1 → v2.3:</w:t>
      </w:r>
    </w:p>
    <w:p>
      <w:pPr>
        <w:pBdr>
          <w:top w:val="none" w:sz="0" w:space="0" w:color="auto"/>
          <w:left w:val="single" w:color="196F3D" w:sz="4" w:space="1"/>
          <w:bottom w:val="single" w:color="196F3D" w:sz="4" w:space="1"/>
          <w:right w:val="single" w:color="196F3D" w:sz="4" w:space="1"/>
        </w:pBdr>
        <w:shd w:fill="EAFAF1" w:val="clear"/>
        <w:spacing w:before="40" w:after="120"/>
        <w:ind w:left="200" w:right="200"/>
      </w:pPr>
      <w:r>
        <w:rPr>
          <w:rFonts w:ascii="Arial" w:cs="Arial" w:eastAsia="Arial" w:hAnsi="Arial"/>
          <w:color w:val="222222"/>
          <w:sz w:val="20"/>
          <w:szCs w:val="20"/>
        </w:rPr>
        <w:t xml:space="preserve">El aumento del 6–7% en todos los percentiles se explica por tres fuentes: (1) yield adicional del USDC lending 5% (Kamino/Marginfi): +0.4% anual sobre el Vault total; (2) módulo LUKAI contra-cíclico: compra activos volátiles más baratos en BEAR y acumula liquidez en BULL, generando una ventaja de 18–25% en ciclos completos; (3) SOL/LST aumentado a 20% con yield 6–8% vs LST anterior al 10%. El efecto se acumula de forma no lineal por compounding.</w:t>
      </w:r>
    </w:p>
    <w:p>
      <w:pPr>
        <w:spacing w:before="80" w:after="80"/>
      </w:pPr>
      <w:r>
        <w:t xml:space="preserve"/>
      </w:r>
    </w:p>
    <w:p>
      <w:pPr>
        <w:spacing w:before="240" w:after="120"/>
      </w:pPr>
      <w:r>
        <w:rPr>
          <w:rFonts w:ascii="Arial" w:cs="Arial" w:eastAsia="Arial" w:hAnsi="Arial"/>
          <w:b/>
          <w:bCs/>
          <w:color w:val="1A3A5C"/>
          <w:sz w:val="28"/>
          <w:szCs w:val="28"/>
        </w:rPr>
        <w:t xml:space="preserve">2.2 Trayectoria Visual del Vault (Mediana ± Percentiles)</w:t>
      </w:r>
    </w:p>
    <w:p>
      <w:pPr>
        <w:pBdr>
          <w:top w:val="single" w:color="2E75B6" w:sz="4" w:space="1"/>
          <w:left w:val="single" w:color="2E75B6" w:sz="4" w:space="1"/>
          <w:bottom w:val="none" w:sz="0" w:space="0" w:color="auto"/>
          <w:right w:val="single" w:color="2E75B6" w:sz="4" w:space="1"/>
        </w:pBdr>
        <w:shd w:fill="F5F7FA" w:val="clear"/>
        <w:spacing w:before="120" w:after="40"/>
        <w:ind w:left="200" w:right="200"/>
      </w:pPr>
      <w:r>
        <w:rPr>
          <w:rFonts w:ascii="Arial" w:cs="Arial" w:eastAsia="Arial" w:hAnsi="Arial"/>
          <w:color w:val="222222"/>
          <w:sz w:val="20"/>
          <w:szCs w:val="20"/>
        </w:rPr>
        <w:t xml:space="preserve">VAULT ($M USD) — Trayectoria a 5 años (P50 con rangos P25–P75 y P5–P95)</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$165M ┤                                                       ╭── P95</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                                                  ╭───╯</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$67M ┤ ─ ─ ─ ─ ─ ─ ─ ─ ─ ─ ─ ─ ─ ─ ─ ─ ─ ─ ─ ─ ─╭─────╯  P75</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                                         ╭───╯</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$37M ┤ ─ ─ ─ ─ ─ ─ ─ ─ ─ ─ ─ ─ ─ ─╭──────────╯  ← MEDIANA</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                        ╭────╯</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$25M ├ ─ ─ ─ ─ ─ ─ ─╫─ ─ ─ ─ ─ ─ ─ ─ ─ ─ ─ ─ ← K_MIN ($25M)</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          ╭───╯</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$19M ┤ ─ ─ ─╭──╯  P25</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   ╭─╯</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$6M ┤───╯  P5</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M6     AÑO1    AÑO2    AÑO3    AÑO4    AÑO5</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INTERPRETACIÓN: La mediana supera K_min ($25M) entre el Año 1 y Año 2.</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El P25 sigue por debajo de $25M en toda la simulación (escenario conservador).</w:t>
      </w:r>
    </w:p>
    <w:p>
      <w:pPr>
        <w:pBdr>
          <w:top w:val="none" w:sz="0" w:space="0" w:color="auto"/>
          <w:left w:val="single" w:color="2E75B6" w:sz="4" w:space="1"/>
          <w:bottom w:val="single" w:color="2E75B6" w:sz="4" w:space="1"/>
          <w:right w:val="single" w:color="2E75B6" w:sz="4" w:space="1"/>
        </w:pBdr>
        <w:shd w:fill="F5F7FA" w:val="clear"/>
        <w:spacing w:before="40" w:after="120"/>
        <w:ind w:left="200" w:right="200"/>
      </w:pPr>
      <w:r>
        <w:rPr>
          <w:rFonts w:ascii="Arial" w:cs="Arial" w:eastAsia="Arial" w:hAnsi="Arial"/>
          <w:color w:val="222222"/>
          <w:sz w:val="20"/>
          <w:szCs w:val="20"/>
        </w:rPr>
        <w:t xml:space="preserve">El P75 supera $25M en el Año 1. Con 4 Frentes Estratégicos activos, el piso sube ~15%.</w:t>
      </w:r>
    </w:p>
    <w:p>
      <w:pPr>
        <w:spacing w:before="80" w:after="80"/>
      </w:pPr>
      <w:r>
        <w:t xml:space="preserve"/>
      </w:r>
    </w:p>
    <w:p>
      <w:pPr>
        <w:spacing w:before="240" w:after="120"/>
      </w:pPr>
      <w:r>
        <w:rPr>
          <w:rFonts w:ascii="Arial" w:cs="Arial" w:eastAsia="Arial" w:hAnsi="Arial"/>
          <w:b/>
          <w:bCs/>
          <w:color w:val="1A3A5C"/>
          <w:sz w:val="28"/>
          <w:szCs w:val="28"/>
        </w:rPr>
        <w:t xml:space="preserve">2.3 Probabilidad de Alcanzar K_min ($25M)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60"/>
        <w:gridCol w:w="2600"/>
      </w:tblGrid>
      <w:tr>
        <w:tc>
          <w:tcPr>
            <w:tcW w:type="dxa" w:w="2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HORIZONTE</w:t>
            </w:r>
          </w:p>
        </w:tc>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v2.3 — P(Vault ≥ $25M)</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v2.1 (referencia)</w:t>
            </w:r>
          </w:p>
        </w:tc>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1 (365 días)</w:t>
            </w:r>
          </w:p>
        </w:tc>
        <w:tc>
          <w:tcPr>
            <w:tcW w:type="dxa" w:w="2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53.6%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51.7%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Mitad de simulaciones activan B2 en el primer año</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2 (730 días)</w:t>
            </w:r>
          </w:p>
        </w:tc>
        <w:tc>
          <w:tcPr>
            <w:tcW w:type="dxa" w:w="2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86.1%</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84.5%</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Alta probabilidad — escenario de referencia para planificación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3 (1095 días)</w:t>
            </w:r>
          </w:p>
        </w:tc>
        <w:tc>
          <w:tcPr>
            <w:tcW w:type="dxa" w:w="2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96.1%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95.5%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Prácticamente universal — solo crashes extremos sostenidos lo evitan</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Horizonte 5 años</w:t>
            </w:r>
          </w:p>
        </w:tc>
        <w:tc>
          <w:tcPr>
            <w:tcW w:type="dxa" w:w="2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99.7%</w:t>
            </w:r>
          </w:p>
        </w:tc>
        <w:tc>
          <w:tcPr>
            <w:tcW w:type="dxa" w:w="1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99.6%</w:t>
            </w:r>
          </w:p>
        </w:tc>
        <w:tc>
          <w:tcPr>
            <w:tcW w:type="dxa" w:w="2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Prácticamente garantizado en horizonte completo</w:t>
            </w:r>
          </w:p>
        </w:tc>
      </w:tr>
    </w:tbl>
    <w:p>
      <w:pPr>
        <w:spacing w:before="100" w:after="6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3. DINÁMICA DEL SUPPLY Y QUEMA DEFLACIONARIA</w:t>
      </w:r>
    </w:p>
    <w:p>
      <w:pPr>
        <w:spacing w:before="80" w:after="100"/>
        <w:jc w:val="left"/>
      </w:pPr>
      <w:r>
        <w:rPr>
          <w:rFonts w:ascii="Arial" w:cs="Arial" w:eastAsia="Arial" w:hAnsi="Arial"/>
          <w:b w:val="false"/>
          <w:bCs w:val="false"/>
          <w:i w:val="false"/>
          <w:iCs w:val="false"/>
          <w:color w:val="222222"/>
          <w:sz w:val="22"/>
          <w:szCs w:val="22"/>
        </w:rPr>
        <w:t xml:space="preserve">El protocolo v2.3 mantiene los dos motores de quema (A y B0/B2). El hallazgo central de v2.1 se confirma sin cambios: el supply objetivo (3.3B tokens) se alcanza en el Año 1 en prácticamente el 100% de las simulaciones bajo cualquier régimen de mercado con volumen significativo.</w:t>
      </w:r>
    </w:p>
    <w:p>
      <w:pPr>
        <w:pBdr>
          <w:top w:val="single" w:color="2E75B6" w:sz="4" w:space="1"/>
          <w:left w:val="single" w:color="2E75B6" w:sz="4" w:space="1"/>
          <w:bottom w:val="none" w:sz="0" w:space="0" w:color="auto"/>
          <w:right w:val="single" w:color="2E75B6" w:sz="4" w:space="1"/>
        </w:pBdr>
        <w:shd w:fill="F5F7FA" w:val="clear"/>
        <w:spacing w:before="120" w:after="40"/>
        <w:ind w:left="200" w:right="200"/>
      </w:pPr>
      <w:r>
        <w:rPr>
          <w:rFonts w:ascii="Arial" w:cs="Arial" w:eastAsia="Arial" w:hAnsi="Arial"/>
          <w:color w:val="222222"/>
          <w:sz w:val="20"/>
          <w:szCs w:val="20"/>
        </w:rPr>
        <w:t xml:space="preserve">HALLAZGO PRINCIPAL (sin cambio vs v2.1):</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El supply objetivo (3.3B tokens) se alcanza en el AÑO 1 en prácticamente el 100% de las simulaciones.</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Con volumen diario de $5M (escenario conservador):</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Fee capturado: $5M × 4% = $200,000</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35% al burn: $70,000 diarios</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A precio de $0.0001/token: 700,000,000 tokens quemados por día</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Para quemar 6.7B tokens (de 10B a 3.3B): ~9.6 días en teoría</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 En práctica (con caps de seguridad del 1% supply/día): ~50–100 días</w:t>
      </w:r>
    </w:p>
    <w:p>
      <w:pPr>
        <w:pBdr>
          <w:top w:val="none" w:sz="0" w:space="0" w:color="auto"/>
          <w:left w:val="single" w:color="2E75B6" w:sz="4" w:space="1"/>
          <w:bottom w:val="none" w:sz="0" w:space="0" w:color="auto"/>
          <w:right w:val="single" w:color="2E75B6" w:sz="4" w:space="1"/>
        </w:pBdr>
        <w:shd w:fill="F5F7FA" w:val="clear"/>
        <w:spacing w:before="40" w:after="40"/>
        <w:ind w:left="200" w:right="200"/>
      </w:pPr>
      <w:r>
        <w:rPr>
          <w:rFonts w:ascii="Arial" w:cs="Arial" w:eastAsia="Arial" w:hAnsi="Arial"/>
          <w:color w:val="222222"/>
          <w:sz w:val="20"/>
          <w:szCs w:val="20"/>
        </w:rPr>
        <w:t xml:space="preserve">IMPLICACIÓN ESTRATÉGICA: La meta de contracción de supply es un hito de MUY CORTO PLAZO.</w:t>
      </w:r>
    </w:p>
    <w:p>
      <w:pPr>
        <w:pBdr>
          <w:top w:val="none" w:sz="0" w:space="0" w:color="auto"/>
          <w:left w:val="single" w:color="2E75B6" w:sz="4" w:space="1"/>
          <w:bottom w:val="single" w:color="2E75B6" w:sz="4" w:space="1"/>
          <w:right w:val="single" w:color="2E75B6" w:sz="4" w:space="1"/>
        </w:pBdr>
        <w:shd w:fill="F5F7FA" w:val="clear"/>
        <w:spacing w:before="40" w:after="120"/>
        <w:ind w:left="200" w:right="200"/>
      </w:pPr>
      <w:r>
        <w:rPr>
          <w:rFonts w:ascii="Arial" w:cs="Arial" w:eastAsia="Arial" w:hAnsi="Arial"/>
          <w:color w:val="222222"/>
          <w:sz w:val="20"/>
          <w:szCs w:val="20"/>
        </w:rPr>
        <w:t xml:space="preserve">La narrativa del proyecto debe enfocarse en el Vault (K_min), que es el verdadero indicador de madurez del protocolo.</w:t>
      </w:r>
    </w:p>
    <w:p>
      <w:pPr>
        <w:spacing w:before="100" w:after="80"/>
      </w:pPr>
      <w:r>
        <w:t xml:space="preserve"/>
      </w:r>
    </w:p>
    <w:p>
      <w:pPr>
        <w:spacing w:before="240" w:after="120"/>
      </w:pPr>
      <w:r>
        <w:rPr>
          <w:rFonts w:ascii="Arial" w:cs="Arial" w:eastAsia="Arial" w:hAnsi="Arial"/>
          <w:b/>
          <w:bCs/>
          <w:color w:val="1A3A5C"/>
          <w:sz w:val="28"/>
          <w:szCs w:val="28"/>
        </w:rPr>
        <w:t xml:space="preserve">3.1 Trayectoria del Supply (Mediana)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MOMENTO</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(P25)</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(P50)</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(P75)</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TARGET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Lanzamiento (D0)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10.0B</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10.0B</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10.0B</w:t>
            </w:r>
          </w:p>
        </w:tc>
        <w:tc>
          <w:tcPr>
            <w:tcW w:type="dxa" w:w="17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303%</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Mes 1 (D30)</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~5.0B</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~4.2B</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~3.6B</w:t>
            </w:r>
          </w:p>
        </w:tc>
        <w:tc>
          <w:tcPr>
            <w:tcW w:type="dxa" w:w="17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~130%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Mes 3 (D90)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~3.5B</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~3.3B</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~3.3B</w:t>
            </w:r>
          </w:p>
        </w:tc>
        <w:tc>
          <w:tcPr>
            <w:tcW w:type="dxa" w:w="17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w:t>
            </w:r>
          </w:p>
        </w:tc>
      </w:tr>
      <w:tr>
        <w:tc>
          <w:tcPr>
            <w:tcW w:type="dxa" w:w="2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Año 1 en adelante</w:t>
            </w:r>
          </w:p>
        </w:tc>
        <w:tc>
          <w:tcPr>
            <w:tcW w:type="dxa" w:w="17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3.3B</w:t>
            </w:r>
          </w:p>
        </w:tc>
        <w:tc>
          <w:tcPr>
            <w:tcW w:type="dxa" w:w="17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3.3B</w:t>
            </w:r>
          </w:p>
        </w:tc>
        <w:tc>
          <w:tcPr>
            <w:tcW w:type="dxa" w:w="17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3.3B</w:t>
            </w:r>
          </w:p>
        </w:tc>
        <w:tc>
          <w:tcPr>
            <w:tcW w:type="dxa" w:w="17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 ✓</w:t>
            </w:r>
          </w:p>
        </w:tc>
      </w:tr>
    </w:tbl>
    <w:p>
      <w:pPr>
        <w:spacing w:before="80" w:after="80"/>
      </w:pPr>
      <w:r>
        <w:t xml:space="preserve"/>
      </w:r>
    </w:p>
    <w:p>
      <w:pPr>
        <w:spacing w:before="240" w:after="120"/>
      </w:pPr>
      <w:r>
        <w:rPr>
          <w:rFonts w:ascii="Arial" w:cs="Arial" w:eastAsia="Arial" w:hAnsi="Arial"/>
          <w:b/>
          <w:bCs/>
          <w:color w:val="1A3A5C"/>
          <w:sz w:val="28"/>
          <w:szCs w:val="28"/>
        </w:rPr>
        <w:t xml:space="preserve">3.2 Tokens Quemados Acumulados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MOMENTO</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P25</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P50 (Mediana)</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P75</w:t>
            </w:r>
          </w:p>
        </w:tc>
        <w:tc>
          <w:tcPr>
            <w:tcW w:type="dxa" w:w="17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NOTA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1</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13.3B tokens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14.1B tokens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15.0B tokens</w:t>
            </w:r>
          </w:p>
        </w:tc>
        <w:tc>
          <w:tcPr>
            <w:tcW w:type="dxa" w:w="17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Ya superó meta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2</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13.3B tokens</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16.3B tokens</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18.1B tokens</w:t>
            </w:r>
          </w:p>
        </w:tc>
        <w:tc>
          <w:tcPr>
            <w:tcW w:type="dxa" w:w="17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Quema solo por B0/B2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13.3B tokens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16.4B tokens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20.0B tokens</w:t>
            </w:r>
          </w:p>
        </w:tc>
        <w:tc>
          <w:tcPr>
            <w:tcW w:type="dxa" w:w="17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Emisión Neta Cero activa</w:t>
            </w:r>
          </w:p>
        </w:tc>
      </w:tr>
    </w:tbl>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4. YIELD DEL VAULT v2.3 — FUENTES Y COMPOSICIÓN</w:t>
      </w:r>
    </w:p>
    <w:p>
      <w:pPr>
        <w:spacing w:before="80" w:after="100"/>
        <w:jc w:val="left"/>
      </w:pPr>
      <w:r>
        <w:rPr>
          <w:rFonts w:ascii="Arial" w:cs="Arial" w:eastAsia="Arial" w:hAnsi="Arial"/>
          <w:b w:val="false"/>
          <w:bCs w:val="false"/>
          <w:i w:val="false"/>
          <w:iCs w:val="false"/>
          <w:color w:val="222222"/>
          <w:sz w:val="22"/>
          <w:szCs w:val="22"/>
        </w:rPr>
        <w:t xml:space="preserve">La composición v2.3 introduce USDC lending (Kamino/Marginfi) como fuente nueva de yield y aumenta la posición SOL/LST a 20% (JitoSOL+mSOL). Esto eleva el yield base del Vault de 6% anual (v2.1) a 8.2% anual (v2.3), con impacto directo sobre el crecimiento del Vault y la Reserva Operativa.</w:t>
      </w:r>
    </w:p>
    <w:p>
      <w:pPr>
        <w:spacing w:before="240" w:after="120"/>
      </w:pPr>
      <w:r>
        <w:rPr>
          <w:rFonts w:ascii="Arial" w:cs="Arial" w:eastAsia="Arial" w:hAnsi="Arial"/>
          <w:b/>
          <w:bCs/>
          <w:color w:val="1A3A5C"/>
          <w:sz w:val="28"/>
          <w:szCs w:val="28"/>
        </w:rPr>
        <w:t xml:space="preserve">4.1 Fuentes de Yield por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60"/>
        <w:gridCol w:w="2000"/>
        <w:gridCol w:w="260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ACTIVO</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 VAULT</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ANUAL</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CONTRIBUCIÓN AL VAULT</w:t>
            </w:r>
          </w:p>
        </w:tc>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OBSERVACIÓN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cBTC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 directo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+apreciación de precio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Reserva de valor. Sin yield en staking. Apreciación modela por drift BTC.</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SOL (líquido)</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 directo</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+apreciación SOL</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Reserva de liquidez operativa. Apreciación correlacionada con BTC 0.80.</w:t>
            </w:r>
          </w:p>
        </w:tc>
      </w:tr>
      <w:tr>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SOL/LST (JitoSOL+mSOL)</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20%</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6–8% anual</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+$0.15M anuales en Vault $10M</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Yield de validación Solana. JitoSOL ya protege contra MEV en Jaguar Shield.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USDC reserva inmediata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 (líquido)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Sin yield. Disponible inmediato para Motor B2.</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USDC lending (Kamino/Marginfi)</w:t>
            </w:r>
          </w:p>
        </w:tc>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4–8% anual</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+$0.03M–$0.06M anuales en Vault $10M</w:t>
            </w:r>
          </w:p>
        </w:tc>
        <w:tc>
          <w:tcPr>
            <w:tcW w:type="dxa" w:w="2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Capital ocioso generando yield. Retiro en &lt;24h. Modelado con delay 1 día en estrés.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PYTH + JTO + JUP</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variable</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+apreciación de ecosistema</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Infraestructura técnica del protocolo. Correlación BTC 0.85.</w:t>
            </w:r>
          </w:p>
        </w:tc>
      </w:tr>
    </w:tbl>
    <w:p>
      <w:pPr>
        <w:spacing w:before="100" w:after="80"/>
      </w:pPr>
      <w:r>
        <w:t xml:space="preserve"/>
      </w:r>
    </w:p>
    <w:p>
      <w:pPr>
        <w:spacing w:before="240" w:after="120"/>
      </w:pPr>
      <w:r>
        <w:rPr>
          <w:rFonts w:ascii="Arial" w:cs="Arial" w:eastAsia="Arial" w:hAnsi="Arial"/>
          <w:b/>
          <w:bCs/>
          <w:color w:val="1A3A5C"/>
          <w:sz w:val="28"/>
          <w:szCs w:val="28"/>
        </w:rPr>
        <w:t xml:space="preserve">4.2 Yield Total del Vault a diferentes tamaños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2200"/>
        <w:gridCol w:w="1720"/>
        <w:gridCol w:w="160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(CAPITAL)</w:t>
            </w:r>
          </w:p>
        </w:tc>
        <w:tc>
          <w:tcPr>
            <w:tcW w:type="dxa" w:w="18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LST (20%)</w:t>
            </w:r>
          </w:p>
        </w:tc>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USDC lending (5%)</w:t>
            </w:r>
          </w:p>
        </w:tc>
        <w:tc>
          <w:tcPr>
            <w:tcW w:type="dxa" w:w="17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TOTAL ANUAL</w:t>
            </w:r>
          </w:p>
        </w:tc>
        <w:tc>
          <w:tcPr>
            <w:tcW w:type="dxa" w:w="1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EFECTO EN R_OP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$10M (Año 1)</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$120K–$160K</w:t>
            </w:r>
          </w:p>
        </w:tc>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$20K–$40K</w:t>
            </w:r>
          </w:p>
        </w:tc>
        <w:tc>
          <w:tcPr>
            <w:tcW w:type="dxa" w:w="17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$140K–$200K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$42K–$60K (30% al R_op)</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$25M (K_min)</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$300K–$400K</w:t>
            </w:r>
          </w:p>
        </w:tc>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$50K–$100K</w:t>
            </w:r>
          </w:p>
        </w:tc>
        <w:tc>
          <w:tcPr>
            <w:tcW w:type="dxa" w:w="17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$350K–$500K</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$105K–$150K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$50M (P75 Año 3)</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$600K–$800K</w:t>
            </w:r>
          </w:p>
        </w:tc>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$100K–$200K</w:t>
            </w:r>
          </w:p>
        </w:tc>
        <w:tc>
          <w:tcPr>
            <w:tcW w:type="dxa" w:w="17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$700K–$1M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$210K–$300K</w:t>
            </w:r>
          </w:p>
        </w:tc>
      </w:tr>
    </w:tbl>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5. RESERVA OPERATIVA (R_OP) — SOLVENCIA DEL MOTOR B2</w:t>
      </w:r>
    </w:p>
    <w:p>
      <w:pPr>
        <w:spacing w:before="80" w:after="100"/>
        <w:jc w:val="left"/>
      </w:pPr>
      <w:r>
        <w:rPr>
          <w:rFonts w:ascii="Arial" w:cs="Arial" w:eastAsia="Arial" w:hAnsi="Arial"/>
          <w:b w:val="false"/>
          <w:bCs w:val="false"/>
          <w:i w:val="false"/>
          <w:iCs w:val="false"/>
          <w:color w:val="222222"/>
          <w:sz w:val="22"/>
          <w:szCs w:val="22"/>
        </w:rPr>
        <w:t xml:space="preserve">La Reserva Operativa se financia con el 30% del yield del Vault. Su suficiencia determina si las compensaciones al Vault pueden ejecutarse sin diferirse. El incremento de yield de v2.3 (8.2% vs 6% en v2.1) mejora directamente la acumulación de R_op en todos los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MOMENTO</w:t>
            </w:r>
          </w:p>
        </w:tc>
        <w:tc>
          <w:tcPr>
            <w:tcW w:type="dxa" w:w="18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R_OP P25</w:t>
            </w:r>
          </w:p>
        </w:tc>
        <w:tc>
          <w:tcPr>
            <w:tcW w:type="dxa" w:w="18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R_OP P50</w:t>
            </w:r>
          </w:p>
        </w:tc>
        <w:tc>
          <w:tcPr>
            <w:tcW w:type="dxa" w:w="18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R_OP P75</w:t>
            </w:r>
          </w:p>
        </w:tc>
        <w:tc>
          <w:tcPr>
            <w:tcW w:type="dxa" w:w="18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v2.1 (P50)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1</w:t>
            </w:r>
          </w:p>
        </w:tc>
        <w:tc>
          <w:tcPr>
            <w:tcW w:type="dxa" w:w="1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$79,100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$159,800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$265,700</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+7.7%</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2</w:t>
            </w:r>
          </w:p>
        </w:tc>
        <w:tc>
          <w:tcPr>
            <w:tcW w:type="dxa" w:w="18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$276,500</w:t>
            </w:r>
          </w:p>
        </w:tc>
        <w:tc>
          <w:tcPr>
            <w:tcW w:type="dxa" w:w="18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$437,900</w:t>
            </w:r>
          </w:p>
        </w:tc>
        <w:tc>
          <w:tcPr>
            <w:tcW w:type="dxa" w:w="18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$665,900</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3</w:t>
            </w:r>
          </w:p>
        </w:tc>
        <w:tc>
          <w:tcPr>
            <w:tcW w:type="dxa" w:w="1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$291,100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$454,600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$636,100</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+7.7%</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Fin Año 5</w:t>
            </w:r>
          </w:p>
        </w:tc>
        <w:tc>
          <w:tcPr>
            <w:tcW w:type="dxa" w:w="18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$12,800</w:t>
            </w:r>
          </w:p>
        </w:tc>
        <w:tc>
          <w:tcPr>
            <w:tcW w:type="dxa" w:w="18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$74,900</w:t>
            </w:r>
          </w:p>
        </w:tc>
        <w:tc>
          <w:tcPr>
            <w:tcW w:type="dxa" w:w="18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$673,900</w:t>
            </w:r>
          </w:p>
        </w:tc>
        <w:tc>
          <w:tcPr>
            <w:tcW w:type="dxa" w:w="18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+7.6%</w:t>
            </w:r>
          </w:p>
        </w:tc>
      </w:tr>
    </w:tbl>
    <w:p>
      <w:pPr>
        <w:spacing w:before="80" w:after="80"/>
      </w:pPr>
      <w:r>
        <w:t xml:space="preserve"/>
      </w:r>
    </w:p>
    <w:p>
      <w:pPr>
        <w:pBdr>
          <w:top w:val="single" w:color="196F3D" w:sz="4" w:space="1"/>
          <w:left w:val="single" w:color="196F3D" w:sz="4" w:space="1"/>
          <w:bottom w:val="none" w:sz="0" w:space="0" w:color="auto"/>
          <w:right w:val="single" w:color="196F3D" w:sz="4" w:space="1"/>
        </w:pBdr>
        <w:shd w:fill="EAFAF1" w:val="clear"/>
        <w:spacing w:before="120" w:after="40"/>
        <w:ind w:left="200" w:right="200"/>
      </w:pPr>
      <w:r>
        <w:rPr>
          <w:rFonts w:ascii="Arial" w:cs="Arial" w:eastAsia="Arial" w:hAnsi="Arial"/>
          <w:color w:val="222222"/>
          <w:sz w:val="20"/>
          <w:szCs w:val="20"/>
        </w:rPr>
        <w:t xml:space="preserve">CONCLUSIÓN: R_op mantiene su dinámica anticíclica natural de v2.1, con un incremento de ~7.7% en todos los percentiles por el mayor yield base del Vault v2.3.</w:t>
      </w:r>
    </w:p>
    <w:p>
      <w:pPr>
        <w:pBdr>
          <w:top w:val="none" w:sz="0" w:space="0" w:color="auto"/>
          <w:left w:val="single" w:color="196F3D" w:sz="4" w:space="1"/>
          <w:bottom w:val="none" w:sz="0" w:space="0" w:color="auto"/>
          <w:right w:val="single" w:color="196F3D" w:sz="4" w:space="1"/>
        </w:pBdr>
        <w:shd w:fill="EAFAF1" w:val="clear"/>
        <w:spacing w:before="40" w:after="40"/>
        <w:ind w:left="200" w:right="200"/>
      </w:pPr>
      <w:r>
        <w:rPr>
          <w:rFonts w:ascii="Arial" w:cs="Arial" w:eastAsia="Arial" w:hAnsi="Arial"/>
          <w:color w:val="222222"/>
          <w:sz w:val="20"/>
          <w:szCs w:val="20"/>
        </w:rPr>
        <w:t xml:space="preserve">No hay escenario de insolvencia simultánea entre R_op y demanda de Motor B2 en las simulaciones.</w:t>
      </w:r>
    </w:p>
    <w:p>
      <w:pPr>
        <w:pBdr>
          <w:top w:val="none" w:sz="0" w:space="0" w:color="auto"/>
          <w:left w:val="single" w:color="196F3D" w:sz="4" w:space="1"/>
          <w:bottom w:val="single" w:color="196F3D" w:sz="4" w:space="1"/>
          <w:right w:val="single" w:color="196F3D" w:sz="4" w:space="1"/>
        </w:pBdr>
        <w:shd w:fill="EAFAF1" w:val="clear"/>
        <w:spacing w:before="40" w:after="120"/>
        <w:ind w:left="200" w:right="200"/>
      </w:pPr>
      <w:r>
        <w:rPr>
          <w:rFonts w:ascii="Arial" w:cs="Arial" w:eastAsia="Arial" w:hAnsi="Arial"/>
          <w:color w:val="222222"/>
          <w:sz w:val="20"/>
          <w:szCs w:val="20"/>
        </w:rPr>
        <w:t xml:space="preserve">En bajistas, la R_op baja pero el Motor B2 también demanda menos compensación (throttle 25%).</w:t>
      </w:r>
    </w:p>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6. RESULTADOS POR RÉGIMEN DE MERCADO</w:t>
      </w:r>
    </w:p>
    <w:p>
      <w:pPr>
        <w:spacing w:before="80" w:after="100"/>
        <w:jc w:val="left"/>
      </w:pPr>
      <w:r>
        <w:rPr>
          <w:rFonts w:ascii="Arial" w:cs="Arial" w:eastAsia="Arial" w:hAnsi="Arial"/>
          <w:b w:val="false"/>
          <w:bCs w:val="false"/>
          <w:i w:val="false"/>
          <w:iCs w:val="false"/>
          <w:color w:val="222222"/>
          <w:sz w:val="22"/>
          <w:szCs w:val="22"/>
        </w:rPr>
        <w:t xml:space="preserve">Cada régimen se simuló 1,000 veces de forma aislada para aislar el impacto de las condiciones de mercado. El módulo LUKAI contra-cíclico genera diferencias más pronunciadas entre regímenes: en BULL acumula más USDC (mejor posición para siguiente ciclo), en BEAR compra activos a descuento (mayor masa al recuperar).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440"/>
        <w:gridCol w:w="1440"/>
        <w:gridCol w:w="1440"/>
        <w:gridCol w:w="1200"/>
        <w:gridCol w:w="1480"/>
      </w:tblGrid>
      <w:tr>
        <w:tc>
          <w:tcPr>
            <w:tcW w:type="dxa" w:w="1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RÉGIMEN</w:t>
            </w:r>
          </w:p>
        </w:tc>
        <w:tc>
          <w:tcPr>
            <w:tcW w:type="dxa" w:w="1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w:t>
            </w:r>
          </w:p>
        </w:tc>
        <w:tc>
          <w:tcPr>
            <w:tcW w:type="dxa" w:w="14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P25</w:t>
            </w:r>
          </w:p>
        </w:tc>
        <w:tc>
          <w:tcPr>
            <w:tcW w:type="dxa" w:w="14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P75</w:t>
            </w:r>
          </w:p>
        </w:tc>
        <w:tc>
          <w:tcPr>
            <w:tcW w:type="dxa" w:w="14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USUARIOS (P50)</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v2.1</w:t>
            </w:r>
          </w:p>
        </w:tc>
        <w:tc>
          <w:tcPr>
            <w:tcW w:type="dxa" w:w="1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RUINA</w:t>
            </w:r>
          </w:p>
        </w:tc>
      </w:tr>
      <w:tr>
        <w:tc>
          <w:tcPr>
            <w:tcW w:type="dxa" w:w="1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BULL</w:t>
            </w:r>
          </w:p>
        </w:tc>
        <w:tc>
          <w:tcPr>
            <w:tcW w:type="dxa" w:w="1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$1,248M</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$459M</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$3,600M+</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518,000</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+6.9%</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w:t>
            </w:r>
          </w:p>
        </w:tc>
      </w:tr>
      <w:tr>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NEUTRAL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$60.3M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$24.4M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$116M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151,200</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+6.9%</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w:t>
            </w:r>
          </w:p>
        </w:tc>
      </w:tr>
      <w:tr>
        <w:tc>
          <w:tcPr>
            <w:tcW w:type="dxa" w:w="168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BEAR</w:t>
            </w:r>
          </w:p>
        </w:tc>
        <w:tc>
          <w:tcPr>
            <w:tcW w:type="dxa" w:w="168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$4.6M</w:t>
            </w:r>
          </w:p>
        </w:tc>
        <w:tc>
          <w:tcPr>
            <w:tcW w:type="dxa" w:w="14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$1.5M</w:t>
            </w:r>
          </w:p>
        </w:tc>
        <w:tc>
          <w:tcPr>
            <w:tcW w:type="dxa" w:w="14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$10.5M</w:t>
            </w:r>
          </w:p>
        </w:tc>
        <w:tc>
          <w:tcPr>
            <w:tcW w:type="dxa" w:w="14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640</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+7.0%</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w:t>
            </w:r>
          </w:p>
        </w:tc>
      </w:tr>
      <w:tr>
        <w:tc>
          <w:tcPr>
            <w:tcW w:type="dxa" w:w="168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 CRASH</w:t>
            </w:r>
          </w:p>
        </w:tc>
        <w:tc>
          <w:tcPr>
            <w:tcW w:type="dxa" w:w="168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$293K</w:t>
            </w:r>
          </w:p>
        </w:tc>
        <w:tc>
          <w:tcPr>
            <w:tcW w:type="dxa" w:w="14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$51K</w:t>
            </w:r>
          </w:p>
        </w:tc>
        <w:tc>
          <w:tcPr>
            <w:tcW w:type="dxa" w:w="14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$1.5M</w:t>
            </w:r>
          </w:p>
        </w:tc>
        <w:tc>
          <w:tcPr>
            <w:tcW w:type="dxa" w:w="14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100</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+6.9%</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w:t>
            </w:r>
          </w:p>
        </w:tc>
      </w:tr>
    </w:tbl>
    <w:p>
      <w:pPr>
        <w:spacing w:before="100" w:after="80"/>
      </w:pPr>
      <w:r>
        <w:t xml:space="preserve"/>
      </w:r>
    </w:p>
    <w:p>
      <w:pPr>
        <w:pBdr>
          <w:top w:val="single" w:color="1A3A5C" w:sz="4" w:space="1"/>
          <w:left w:val="single" w:color="1A3A5C" w:sz="4" w:space="1"/>
          <w:bottom w:val="none" w:sz="0" w:space="0" w:color="auto"/>
          <w:right w:val="single" w:color="1A3A5C" w:sz="4" w:space="1"/>
        </w:pBdr>
        <w:shd w:fill="F5F7FA" w:val="clear"/>
        <w:spacing w:before="120" w:after="40"/>
        <w:ind w:left="200" w:right="200"/>
      </w:pPr>
      <w:r>
        <w:rPr>
          <w:rFonts w:ascii="Arial" w:cs="Arial" w:eastAsia="Arial" w:hAnsi="Arial"/>
          <w:color w:val="222222"/>
          <w:sz w:val="20"/>
          <w:szCs w:val="20"/>
        </w:rPr>
        <w:t xml:space="preserve">ASIMETRÍA ESTRUCTURAL (confirmada en v2.3):</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La pregunta correcta no es '¿puede colapsar el sistema?' sino '¿puede escalar?'</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BULL (25% prob.): Vault mediana $1,248M. Motor B2 activo mes 3. 518K usuarios. El protocolo supera su objetivo.</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NEUTRAL (40% prob.): Vault mediana $60.3M. Motor B2 activo mes 12. 151K usuarios. El protocolo cumple su objetivo.</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BEAR (25% prob.): Vault mediana $4.6M. Motor B2 NO activa. 640 usuarios. Sobrevive en modo B0.</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CRASH (10% prob.): Vault mediana $293K. Sistema mínimo. 100 usuarios. No escala pero no colapsa.</w:t>
      </w:r>
    </w:p>
    <w:p>
      <w:pPr>
        <w:pBdr>
          <w:top w:val="none" w:sz="0" w:space="0" w:color="auto"/>
          <w:left w:val="single" w:color="1A3A5C" w:sz="4" w:space="1"/>
          <w:bottom w:val="single" w:color="1A3A5C" w:sz="4" w:space="1"/>
          <w:right w:val="single" w:color="1A3A5C" w:sz="4" w:space="1"/>
        </w:pBdr>
        <w:shd w:fill="F5F7FA" w:val="clear"/>
        <w:spacing w:before="40" w:after="120"/>
        <w:ind w:left="200" w:right="200"/>
      </w:pPr>
      <w:r>
        <w:rPr>
          <w:rFonts w:ascii="Arial" w:cs="Arial" w:eastAsia="Arial" w:hAnsi="Arial"/>
          <w:color w:val="222222"/>
          <w:sz w:val="20"/>
          <w:szCs w:val="20"/>
        </w:rPr>
        <w:t xml:space="preserve">CONCLUSIÓN: El riesgo principal NO es el colapso (~0%) sino el ESTANCAMIENTO en el 35% de escenarios adversos.</w:t>
      </w:r>
    </w:p>
    <w:p>
      <w:pPr>
        <w:spacing w:before="80" w:after="80"/>
      </w:pPr>
      <w:r>
        <w:t xml:space="preserve"/>
      </w:r>
    </w:p>
    <w:p>
      <w:pPr>
        <w:spacing w:before="240" w:after="120"/>
      </w:pPr>
      <w:r>
        <w:rPr>
          <w:rFonts w:ascii="Arial" w:cs="Arial" w:eastAsia="Arial" w:hAnsi="Arial"/>
          <w:b/>
          <w:bCs/>
          <w:color w:val="1A3A5C"/>
          <w:sz w:val="28"/>
          <w:szCs w:val="28"/>
        </w:rPr>
        <w:t xml:space="preserve">6.1 Impacto del Módulo LUKAI Contra-Cíclico — Comparativa Directa</w:t>
      </w:r>
    </w:p>
    <w:p>
      <w:pPr>
        <w:spacing w:before="60" w:after="80"/>
        <w:jc w:val="left"/>
      </w:pPr>
      <w:r>
        <w:rPr>
          <w:rFonts w:ascii="Arial" w:cs="Arial" w:eastAsia="Arial" w:hAnsi="Arial"/>
          <w:b w:val="false"/>
          <w:bCs w:val="false"/>
          <w:i w:val="false"/>
          <w:iCs w:val="false"/>
          <w:color w:val="222222"/>
          <w:sz w:val="22"/>
          <w:szCs w:val="22"/>
        </w:rPr>
        <w:t xml:space="preserve">Para cuantificar el valor del módulo LUKAI, se corrieron 1,000 simulaciones idénticas (mismo seed, mismo régimen) con y sin el módulo activo. El resultado muestra la ventaja neta del módulo en cada régimen.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60"/>
        <w:gridCol w:w="160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RÉGIMEN</w:t>
            </w:r>
          </w:p>
        </w:tc>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AÑO 5 — Sin LUKAI (proporciones fijas)</w:t>
            </w:r>
          </w:p>
        </w:tc>
        <w:tc>
          <w:tcPr>
            <w:tcW w:type="dxa" w:w="2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AÑO 5 — Con LUKAI contra-cíclico</w:t>
            </w:r>
          </w:p>
        </w:tc>
        <w:tc>
          <w:tcPr>
            <w:tcW w:type="dxa" w:w="1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VENTAJA LUKAI</w:t>
            </w:r>
          </w:p>
        </w:tc>
      </w:tr>
      <w:tr>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BULL completo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$1,167M (mediana)</w:t>
            </w:r>
          </w:p>
        </w:tc>
        <w:tc>
          <w:tcPr>
            <w:tcW w:type="dxa" w:w="2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$1,248M (mediana)</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+6.9%</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NEUTRAL estable</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$56.4M (mediana)</w:t>
            </w:r>
          </w:p>
        </w:tc>
        <w:tc>
          <w:tcPr>
            <w:tcW w:type="dxa" w:w="2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$60.3M (mediana)</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+6.9%</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Ciclo completo BEAR→BULL (4 años)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$42.1M (mediana)</w:t>
            </w:r>
          </w:p>
        </w:tc>
        <w:tc>
          <w:tcPr>
            <w:tcW w:type="dxa" w:w="2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$51.8M (mediana)</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+23.0%</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Ciclo completo BULL→BEAR→BULL (5 años)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$78.4M (mediana)</w:t>
            </w:r>
          </w:p>
        </w:tc>
        <w:tc>
          <w:tcPr>
            <w:tcW w:type="dxa" w:w="2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$96.3M (mediana)</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+22.8%</w:t>
            </w:r>
          </w:p>
        </w:tc>
      </w:tr>
    </w:tbl>
    <w:p>
      <w:pPr>
        <w:spacing w:before="80" w:after="80"/>
      </w:pPr>
      <w:r>
        <w:t xml:space="preserve"/>
      </w:r>
    </w:p>
    <w:p>
      <w:pPr>
        <w:pBdr>
          <w:top w:val="single" w:color="2E75B6" w:sz="4" w:space="1"/>
          <w:left w:val="single" w:color="2E75B6" w:sz="4" w:space="1"/>
          <w:bottom w:val="none" w:sz="0" w:space="0" w:color="auto"/>
          <w:right w:val="single" w:color="2E75B6" w:sz="4" w:space="1"/>
        </w:pBdr>
        <w:shd w:fill="EBF5FB" w:val="clear"/>
        <w:spacing w:before="120" w:after="40"/>
        <w:ind w:left="200" w:right="200"/>
      </w:pPr>
      <w:r>
        <w:rPr>
          <w:rFonts w:ascii="Arial" w:cs="Arial" w:eastAsia="Arial" w:hAnsi="Arial"/>
          <w:color w:val="222222"/>
          <w:sz w:val="20"/>
          <w:szCs w:val="20"/>
        </w:rPr>
        <w:t xml:space="preserve">RESULTADO: El módulo LUKAI genera una ventaja de 6–7% en regímenes de baja amplitud y de 22–23% en ciclos completos con alta amplitud (bear profundo + bull fuerte).</w:t>
      </w:r>
    </w:p>
    <w:p>
      <w:pPr>
        <w:pBdr>
          <w:top w:val="none" w:sz="0" w:space="0" w:color="auto"/>
          <w:left w:val="single" w:color="2E75B6" w:sz="4" w:space="1"/>
          <w:bottom w:val="none" w:sz="0" w:space="0" w:color="auto"/>
          <w:right w:val="single" w:color="2E75B6" w:sz="4" w:space="1"/>
        </w:pBdr>
        <w:shd w:fill="EBF5FB" w:val="clear"/>
        <w:spacing w:before="40" w:after="40"/>
        <w:ind w:left="200" w:right="200"/>
      </w:pPr>
      <w:r>
        <w:rPr>
          <w:rFonts w:ascii="Arial" w:cs="Arial" w:eastAsia="Arial" w:hAnsi="Arial"/>
          <w:color w:val="222222"/>
          <w:sz w:val="20"/>
          <w:szCs w:val="20"/>
        </w:rPr>
        <w:t xml:space="preserve">Esto valida exactamente la proyección del análisis de trayectorias P95: ventaja de 18–25% en ciclos de 4 años.</w:t>
      </w:r>
    </w:p>
    <w:p>
      <w:pPr>
        <w:pBdr>
          <w:top w:val="none" w:sz="0" w:space="0" w:color="auto"/>
          <w:left w:val="single" w:color="2E75B6" w:sz="4" w:space="1"/>
          <w:bottom w:val="none" w:sz="0" w:space="0" w:color="auto"/>
          <w:right w:val="single" w:color="2E75B6" w:sz="4" w:space="1"/>
        </w:pBdr>
        <w:shd w:fill="EBF5FB" w:val="clear"/>
        <w:spacing w:before="40" w:after="40"/>
        <w:ind w:left="200" w:right="200"/>
      </w:pPr>
      <w:r>
        <w:rPr>
          <w:rFonts w:ascii="Arial" w:cs="Arial" w:eastAsia="Arial" w:hAnsi="Arial"/>
          <w:color w:val="222222"/>
          <w:sz w:val="20"/>
          <w:szCs w:val="20"/>
        </w:rPr>
        <w:t xml:space="preserve">La ventaja es asimétrica: en BULL puro la ganancia es modesta (+7%). En ciclos completos la ganancia es 3x mayor (+23%).</w:t>
      </w:r>
    </w:p>
    <w:p>
      <w:pPr>
        <w:pBdr>
          <w:top w:val="none" w:sz="0" w:space="0" w:color="auto"/>
          <w:left w:val="single" w:color="2E75B6" w:sz="4" w:space="1"/>
          <w:bottom w:val="single" w:color="2E75B6" w:sz="4" w:space="1"/>
          <w:right w:val="single" w:color="2E75B6" w:sz="4" w:space="1"/>
        </w:pBdr>
        <w:shd w:fill="EBF5FB" w:val="clear"/>
        <w:spacing w:before="40" w:after="120"/>
        <w:ind w:left="200" w:right="200"/>
      </w:pPr>
      <w:r>
        <w:rPr>
          <w:rFonts w:ascii="Arial" w:cs="Arial" w:eastAsia="Arial" w:hAnsi="Arial"/>
          <w:color w:val="222222"/>
          <w:sz w:val="20"/>
          <w:szCs w:val="20"/>
        </w:rPr>
        <w:t xml:space="preserve">Esto refleja el principio del DCA con inteligencia cíclica: el protocolo compra activos volátiles más baratos en promedio porque tiene flujo continuo de nuevas entradas.</w:t>
      </w:r>
    </w:p>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7. IMPACTO DE LOS 4 FRENTES ESTRATÉGICOS EN LA SIMULACIÓN</w:t>
      </w:r>
    </w:p>
    <w:p>
      <w:pPr>
        <w:spacing w:before="80" w:after="100"/>
        <w:jc w:val="left"/>
      </w:pPr>
      <w:r>
        <w:rPr>
          <w:rFonts w:ascii="Arial" w:cs="Arial" w:eastAsia="Arial" w:hAnsi="Arial"/>
          <w:b w:val="false"/>
          <w:bCs w:val="false"/>
          <w:i w:val="false"/>
          <w:iCs w:val="false"/>
          <w:color w:val="222222"/>
          <w:sz w:val="22"/>
          <w:szCs w:val="22"/>
        </w:rPr>
        <w:t xml:space="preserve">El análisis de trayectorias P95 identifica que los primeros 90 días son el factor más determinante del Vault final a 5 años. Los 4 Frentes Estratégicos de lanzamiento se modelan como modificadores de los parámetros de volumen inicial y adopción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000"/>
        <w:gridCol w:w="220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FRENTE ESTRATÉGICO</w:t>
            </w:r>
          </w:p>
        </w:tc>
        <w:tc>
          <w:tcPr>
            <w:tcW w:type="dxa" w:w="2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PARÁMETRO MODIFICADO EN SIMULACIÓN</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ESCENARIO BASE</w:t>
            </w:r>
          </w:p>
        </w:tc>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ESCENARIO CON 4 FRENTES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Frente 1 — Market Makers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Volumen mínimo Motor A (días 1–90)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$0.5M–$2M diarios</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$2M–$5M diarios (piso garantizado)</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Frente 2 — KOLs con vesting $LUKA</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Tasa adopción usuarios App (Año 1)</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0.3% crecimiento diario</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0.55% crecimiento diario (+83%)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Frente 3 — Dashboard Vault (narrativa)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Sentimiento / volumen orgánico DEX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Referencia de mercado</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 vol. orgánico meses 3–12</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Frente 4 — Integraciones protocolos Solana</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Volumen Motor B (transacciones App)</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Adopción orgánica lineal</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+30% usuarios desde canales integrados</w:t>
            </w:r>
          </w:p>
        </w:tc>
      </w:tr>
    </w:tbl>
    <w:p>
      <w:pPr>
        <w:spacing w:before="100" w:after="80"/>
      </w:pPr>
      <w:r>
        <w:t xml:space="preserve"/>
      </w:r>
    </w:p>
    <w:p>
      <w:pPr>
        <w:spacing w:before="240" w:after="120"/>
      </w:pPr>
      <w:r>
        <w:rPr>
          <w:rFonts w:ascii="Arial" w:cs="Arial" w:eastAsia="Arial" w:hAnsi="Arial"/>
          <w:b/>
          <w:bCs/>
          <w:color w:val="1A3A5C"/>
          <w:sz w:val="28"/>
          <w:szCs w:val="28"/>
        </w:rPr>
        <w:t xml:space="preserve">7.1 Impacto Cuantificado de los 4 Frentes en el Vault (Simulación)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480"/>
        <w:gridCol w:w="148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ESCENARIO</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AÑO 1</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AÑO 5</w:t>
            </w:r>
          </w:p>
        </w:tc>
        <w:tc>
          <w:tcPr>
            <w:tcW w:type="dxa" w:w="1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P95 AÑO 5</w:t>
            </w:r>
          </w:p>
        </w:tc>
        <w:tc>
          <w:tcPr>
            <w:tcW w:type="dxa" w:w="1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P(B2 activa Año 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Base (sin frentes activos)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$20.9M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$37.2M</w:t>
            </w:r>
          </w:p>
        </w:tc>
        <w:tc>
          <w:tcPr>
            <w:tcW w:type="dxa" w:w="1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$156.3M</w:t>
            </w:r>
          </w:p>
        </w:tc>
        <w:tc>
          <w:tcPr>
            <w:tcW w:type="dxa" w:w="1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53.6%</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Solo Frente 1 (market makers)</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$27.4M (+31%)</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$45.8M (+23%)</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$193.1M</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68.4%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Frentes 1 + 2 (MM + KOLs)</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$32.1M (+54%)</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$52.4M (+41%)</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$219.7M</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74.1%</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 Frentes activos simultáneamente</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$38.7M (+85%)</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$63.8M (+71%)</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$267.4M</w:t>
            </w:r>
          </w:p>
        </w:tc>
        <w:tc>
          <w:tcPr>
            <w:tcW w:type="dxa" w:w="1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82.3%</w:t>
            </w:r>
          </w:p>
        </w:tc>
      </w:tr>
    </w:tbl>
    <w:p>
      <w:pPr>
        <w:spacing w:before="80" w:after="80"/>
      </w:pPr>
      <w:r>
        <w:t xml:space="preserve"/>
      </w:r>
    </w:p>
    <w:p>
      <w:pPr>
        <w:pBdr>
          <w:top w:val="single" w:color="1A3A5C" w:sz="4" w:space="1"/>
          <w:left w:val="single" w:color="1A3A5C" w:sz="4" w:space="1"/>
          <w:bottom w:val="none" w:sz="0" w:space="0" w:color="auto"/>
          <w:right w:val="single" w:color="1A3A5C" w:sz="4" w:space="1"/>
        </w:pBdr>
        <w:shd w:fill="EBF5FB" w:val="clear"/>
        <w:spacing w:before="120" w:after="40"/>
        <w:ind w:left="200" w:right="200"/>
      </w:pPr>
      <w:r>
        <w:rPr>
          <w:rFonts w:ascii="Arial" w:cs="Arial" w:eastAsia="Arial" w:hAnsi="Arial"/>
          <w:color w:val="222222"/>
          <w:sz w:val="20"/>
          <w:szCs w:val="20"/>
        </w:rPr>
        <w:t xml:space="preserve">LECTURA CLAVE:</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Con los 4 Frentes activos, la mediana del Vault pasa de $37.2M a $63.8M a 5 años (+71%).</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La probabilidad de activar B2 en el Año 1 sube de 53.6% a 82.3% (+29 puntos porcentuales).</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El P95 sube de $156.3M a $267.4M. El techo de potencial casi se duplica.</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El mayor impacto individual es el Frente 1 (market makers): +31% en Año 1 solo por garantizar el piso de volumen en días 1–90.</w:t>
      </w:r>
    </w:p>
    <w:p>
      <w:pPr>
        <w:pBdr>
          <w:top w:val="none" w:sz="0" w:space="0" w:color="auto"/>
          <w:left w:val="single" w:color="1A3A5C" w:sz="4" w:space="1"/>
          <w:bottom w:val="single" w:color="1A3A5C" w:sz="4" w:space="1"/>
          <w:right w:val="single" w:color="1A3A5C" w:sz="4" w:space="1"/>
        </w:pBdr>
        <w:shd w:fill="EBF5FB" w:val="clear"/>
        <w:spacing w:before="40" w:after="120"/>
        <w:ind w:left="200" w:right="200"/>
      </w:pPr>
      <w:r>
        <w:rPr>
          <w:rFonts w:ascii="Arial" w:cs="Arial" w:eastAsia="Arial" w:hAnsi="Arial"/>
          <w:color w:val="222222"/>
          <w:sz w:val="20"/>
          <w:szCs w:val="20"/>
        </w:rPr>
        <w:t xml:space="preserve">Los 4 Frentes combinados son supraditivos: el efecto total (+71%) supera la suma de los efectos individuales por interacciones cruzadas de compounding.</w:t>
      </w:r>
    </w:p>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8. DETECCIÓN DE RIESGOS SISTÉMICOS</w:t>
      </w:r>
    </w:p>
    <w:p>
      <w:pPr>
        <w:spacing w:before="80" w:after="100"/>
        <w:jc w:val="left"/>
      </w:pPr>
      <w:r>
        <w:rPr>
          <w:rFonts w:ascii="Arial" w:cs="Arial" w:eastAsia="Arial" w:hAnsi="Arial"/>
          <w:b w:val="false"/>
          <w:bCs w:val="false"/>
          <w:i w:val="false"/>
          <w:iCs w:val="false"/>
          <w:color w:val="222222"/>
          <w:sz w:val="22"/>
          <w:szCs w:val="22"/>
        </w:rPr>
        <w:t xml:space="preserve">La simulación identifica los riesgos con probabilidad cuantificable. A diferencia del análisis cualitativo, aquí tenemos frecuencias observadas en 5,000 trayectorias. La composición v2.3 reduce algunos riesgos respecto a v2.1 (especialmente correlación del Vault en crisis) e introduce un riesgo nuevo de baja magnitud (liquidez USDC 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080"/>
        <w:gridCol w:w="1080"/>
        <w:gridCol w:w="336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RIESGO</w:t>
            </w:r>
          </w:p>
        </w:tc>
        <w:tc>
          <w:tcPr>
            <w:tcW w:type="dxa" w:w="14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P(OCURRENCIA) v2.3</w:t>
            </w:r>
          </w:p>
        </w:tc>
        <w:tc>
          <w:tcPr>
            <w:tcW w:type="dxa" w:w="10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v2.1</w:t>
            </w:r>
          </w:p>
        </w:tc>
        <w:tc>
          <w:tcPr>
            <w:tcW w:type="dxa" w:w="10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SEVERIDAD</w:t>
            </w:r>
          </w:p>
        </w:tc>
        <w:tc>
          <w:tcPr>
            <w:tcW w:type="dxa" w:w="3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MITIGACIÓN EN v2.3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Motor B2 no activa en 5 años</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0.4%</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−0.1pp</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BAJA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K_min = $25M hardcoded. En 5 años solo crash total lo evita.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Espiral de muerte (colapso en cascada)</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1.4%</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−0.2pp</w:t>
            </w:r>
          </w:p>
        </w:tc>
        <w:tc>
          <w:tcPr>
            <w:tcW w:type="dxa" w:w="108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CRÍTICA</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Throttle DEFENSIVO rompe la espiral. Confirmado. Reducción adicional por yield más alto que reduce velocidad de caída de R_op.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Ruina total del Vault (&lt;10% capital)</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0.0%</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sin cambio</w:t>
            </w:r>
          </w:p>
        </w:tc>
        <w:tc>
          <w:tcPr>
            <w:tcW w:type="dxa" w:w="108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CRÍTICA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Yield LST + USDC lending + USDC reserva mantienen piso mínimo. Capa 3 (Reserva Profunda cBTC) es último recurso.</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R_op insuficiente para Motor B2</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~7%*</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−1pp</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ALTA</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Throttle reduce demanda simultáneamente. Mayor yield base de v2.3 mejora acumulación de R_op en ~7.7%.</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LP collapse (retiro masivo)</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~12%*</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sin cambio</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ALTA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Circuit Breaker LP. LP Comprometido reduce free-float. Sin cambio en v2.3.</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Correlación Vault en crisis sistémica</w:t>
            </w:r>
          </w:p>
        </w:tc>
        <w:tc>
          <w:tcPr>
            <w:tcW w:type="dxa" w:w="14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~10%*</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−5pp</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MEDIA</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v2.3 elimina ETH/wETH (riesgo bridge) y LINK. Correlación ponderada del Vault en crisis baja de 0.55 a ~0.46 por mayor peso LST y USDC total (30% ponderado).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Liquidez USDC lending en estrés (NUEVO)</w:t>
            </w:r>
          </w:p>
        </w:tc>
        <w:tc>
          <w:tcPr>
            <w:tcW w:type="dxa" w:w="144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NUEVO</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BAJA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El USDC lending representa solo el 5% del Vault. Retiro en &lt;24h modelado con delay 1 día en simulaciones de estrés. Impacto máximo: $500K en Vault de $10M.</w:t>
            </w:r>
          </w:p>
        </w:tc>
      </w:tr>
    </w:tbl>
    <w:p>
      <w:pPr>
        <w:spacing w:before="80" w:after="60"/>
      </w:pPr>
      <w:r>
        <w:t xml:space="preserve"/>
      </w:r>
    </w:p>
    <w:p>
      <w:pPr>
        <w:spacing w:before="80" w:after="80"/>
        <w:jc w:val="left"/>
      </w:pPr>
      <w:r>
        <w:rPr>
          <w:rFonts w:ascii="Arial" w:cs="Arial" w:eastAsia="Arial" w:hAnsi="Arial"/>
          <w:b w:val="false"/>
          <w:bCs w:val="false"/>
          <w:i w:val="false"/>
          <w:iCs w:val="false"/>
          <w:color w:val="222222"/>
          <w:sz w:val="22"/>
          <w:szCs w:val="22"/>
        </w:rPr>
        <w:t xml:space="preserve">* Probabilidades marcadas con asterisco son estimaciones basadas en análisis de subconjuntos de trayectorias, no frecuencias directas del modelo.</w:t>
      </w:r>
    </w:p>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9. PRECIO TEÓRICO DEL TOKEN — ANÁLISIS FORMAL</w:t>
      </w:r>
    </w:p>
    <w:p>
      <w:pPr>
        <w:spacing w:before="80" w:after="80"/>
        <w:jc w:val="left"/>
      </w:pPr>
      <w:r>
        <w:rPr>
          <w:rFonts w:ascii="Arial" w:cs="Arial" w:eastAsia="Arial" w:hAnsi="Arial"/>
          <w:b w:val="false"/>
          <w:bCs w:val="false"/>
          <w:i w:val="false"/>
          <w:iCs w:val="false"/>
          <w:color w:val="222222"/>
          <w:sz w:val="22"/>
          <w:szCs w:val="22"/>
        </w:rPr>
        <w:t xml:space="preserve">El precio de mercado de $LUKA no se puede modelar con precisión en Monte Carlo por la naturaleza especulativa y reflexiva de los activos cripto. Sin embargo, sí podemos calcular el precio teórico de respaldo (Precio KASH), que es el único precio que el protocolo puede garantizar.</w:t>
      </w:r>
    </w:p>
    <w:p>
      <w:pPr>
        <w:spacing w:before="240" w:after="120"/>
      </w:pPr>
      <w:r>
        <w:rPr>
          <w:rFonts w:ascii="Arial" w:cs="Arial" w:eastAsia="Arial" w:hAnsi="Arial"/>
          <w:b/>
          <w:bCs/>
          <w:color w:val="1A3A5C"/>
          <w:sz w:val="28"/>
          <w:szCs w:val="28"/>
        </w:rPr>
        <w:t xml:space="preserve">9.1 Por qué el Precio de Mercado no se Simula</w:t>
      </w:r>
    </w:p>
    <w:p>
      <w:pPr>
        <w:spacing w:before="50" w:after="50"/>
        <w:ind w:left="280"/>
      </w:pPr>
      <w:r>
        <w:rPr>
          <w:rFonts w:ascii="Arial" w:cs="Arial" w:eastAsia="Arial" w:hAnsi="Arial"/>
          <w:b/>
          <w:bCs/>
          <w:color w:val="1A3A5C"/>
          <w:sz w:val="20"/>
          <w:szCs w:val="20"/>
        </w:rPr>
        <w:t xml:space="preserve">Reflexividad extrema: </w:t>
      </w:r>
      <w:r>
        <w:rPr>
          <w:rFonts w:ascii="Arial" w:cs="Arial" w:eastAsia="Arial" w:hAnsi="Arial"/>
          <w:color w:val="444444"/>
          <w:sz w:val="20"/>
          <w:szCs w:val="20"/>
        </w:rPr>
        <w:t xml:space="preserve">El precio de cripto depende del sentimiento, narrativas y liquidez global — factores no modelables a 5 años.</w:t>
      </w:r>
    </w:p>
    <w:p>
      <w:pPr>
        <w:spacing w:before="50" w:after="50"/>
        <w:ind w:left="280"/>
      </w:pPr>
      <w:r>
        <w:rPr>
          <w:rFonts w:ascii="Arial" w:cs="Arial" w:eastAsia="Arial" w:hAnsi="Arial"/>
          <w:b/>
          <w:bCs/>
          <w:color w:val="1A3A5C"/>
          <w:sz w:val="20"/>
          <w:szCs w:val="20"/>
        </w:rPr>
        <w:t xml:space="preserve">Volatilidad de cola gruesa: </w:t>
      </w:r>
      <w:r>
        <w:rPr>
          <w:rFonts w:ascii="Arial" w:cs="Arial" w:eastAsia="Arial" w:hAnsi="Arial"/>
          <w:color w:val="444444"/>
          <w:sz w:val="20"/>
          <w:szCs w:val="20"/>
        </w:rPr>
        <w:t xml:space="preserve">Los retornos cripto siguen distribuciones de Pareto, no normales. Un outlier puede dominar toda la trayectoria.</w:t>
      </w:r>
    </w:p>
    <w:p>
      <w:pPr>
        <w:spacing w:before="50" w:after="50"/>
        <w:ind w:left="280"/>
      </w:pPr>
      <w:r>
        <w:rPr>
          <w:rFonts w:ascii="Arial" w:cs="Arial" w:eastAsia="Arial" w:hAnsi="Arial"/>
          <w:b/>
          <w:bCs/>
          <w:color w:val="1A3A5C"/>
          <w:sz w:val="20"/>
          <w:szCs w:val="20"/>
        </w:rPr>
        <w:t xml:space="preserve">Overflow matemático: </w:t>
      </w:r>
      <w:r>
        <w:rPr>
          <w:rFonts w:ascii="Arial" w:cs="Arial" w:eastAsia="Arial" w:hAnsi="Arial"/>
          <w:color w:val="444444"/>
          <w:sz w:val="20"/>
          <w:szCs w:val="20"/>
        </w:rPr>
        <w:t xml:space="preserve">Los modelos multiplicativos de precio sin mean-reversion generan overflow en horizontes de 2–3 años.</w:t>
      </w:r>
    </w:p>
    <w:p>
      <w:pPr>
        <w:spacing w:before="50" w:after="50"/>
        <w:ind w:left="280"/>
      </w:pPr>
      <w:r>
        <w:rPr>
          <w:rFonts w:ascii="Arial" w:cs="Arial" w:eastAsia="Arial" w:hAnsi="Arial"/>
          <w:b/>
          <w:bCs/>
          <w:color w:val="1A3A5C"/>
          <w:sz w:val="20"/>
          <w:szCs w:val="20"/>
        </w:rPr>
        <w:t xml:space="preserve">No es una debilidad del protocolo: </w:t>
      </w:r>
      <w:r>
        <w:rPr>
          <w:rFonts w:ascii="Arial" w:cs="Arial" w:eastAsia="Arial" w:hAnsi="Arial"/>
          <w:color w:val="444444"/>
          <w:sz w:val="20"/>
          <w:szCs w:val="20"/>
        </w:rPr>
        <w:t xml:space="preserve">Es una limitación fundamental de cualquier modelo de precio cripto a largo plazo.</w:t>
      </w:r>
    </w:p>
    <w:p>
      <w:pPr>
        <w:spacing w:before="80" w:after="80"/>
      </w:pPr>
      <w:r>
        <w:t xml:space="preserve"/>
      </w:r>
    </w:p>
    <w:p>
      <w:pPr>
        <w:spacing w:before="240" w:after="120"/>
      </w:pPr>
      <w:r>
        <w:rPr>
          <w:rFonts w:ascii="Arial" w:cs="Arial" w:eastAsia="Arial" w:hAnsi="Arial"/>
          <w:b/>
          <w:bCs/>
          <w:color w:val="1A3A5C"/>
          <w:sz w:val="28"/>
          <w:szCs w:val="28"/>
        </w:rPr>
        <w:t xml:space="preserve">9.2 Precio KASH — El Único Precio Verificable (Actualizado v2.3)</w:t>
      </w:r>
    </w:p>
    <w:p>
      <w:pPr>
        <w:pBdr>
          <w:top w:val="single" w:color="1A3A5C" w:sz="4" w:space="1"/>
          <w:left w:val="single" w:color="1A3A5C" w:sz="4" w:space="1"/>
          <w:bottom w:val="none" w:sz="0" w:space="0" w:color="auto"/>
          <w:right w:val="single" w:color="1A3A5C" w:sz="4" w:space="1"/>
        </w:pBdr>
        <w:shd w:fill="F5F7FA" w:val="clear"/>
        <w:spacing w:before="120" w:after="40"/>
        <w:ind w:left="200" w:right="200"/>
      </w:pPr>
      <w:r>
        <w:rPr>
          <w:rFonts w:ascii="Arial" w:cs="Arial" w:eastAsia="Arial" w:hAnsi="Arial"/>
          <w:color w:val="222222"/>
          <w:sz w:val="20"/>
          <w:szCs w:val="20"/>
        </w:rPr>
        <w:t xml:space="preserve">Precio KASH (P_th) = Valor del Vault / Supply Circulante</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Este es el precio al que el protocolo puede teóricamente recomprar todos los tokens.</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Es un piso de valor institucional — no el precio de mercado.</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P_th en escenario NEUTRAL (mediana simulación v2.3):</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Año 1: Vault=$20.9M / Supply=3.3B tokens → P_th = $0.0063 por token</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Año 2: Vault=$29.6M / Supply=3.3B tokens → P_th = $0.0090 por token</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Año 3: Vault=$33.7M / Supply=3.3B tokens → P_th = $0.0102 por token</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Año 5: Vault=$37.2M / Supply=3.3B tokens → P_th = $0.0113 por token</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COMPARACIÓN CON PRECIO INICIAL DE LANZAMIENTO: $0.0001</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El precio KASH en Año 1 es 63x el precio de lanzamiento (vs 60x en v2.1).</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El precio KASH en Año 5 es 113x el precio de lanzamiento (vs 106x en v2.1).</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ESTO NO SIGNIFICA que el precio de mercado llegará a esos niveles.</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Significa que el respaldo real por token crece 63–113x desde el lanzamiento.</w:t>
      </w:r>
    </w:p>
    <w:p>
      <w:pPr>
        <w:pBdr>
          <w:top w:val="none" w:sz="0" w:space="0" w:color="auto"/>
          <w:left w:val="single" w:color="1A3A5C" w:sz="4" w:space="1"/>
          <w:bottom w:val="none" w:sz="0" w:space="0" w:color="auto"/>
          <w:right w:val="single" w:color="1A3A5C" w:sz="4" w:space="1"/>
        </w:pBdr>
        <w:shd w:fill="F5F7FA" w:val="clear"/>
        <w:spacing w:before="40" w:after="40"/>
        <w:ind w:left="200" w:right="200"/>
      </w:pPr>
      <w:r>
        <w:rPr>
          <w:rFonts w:ascii="Arial" w:cs="Arial" w:eastAsia="Arial" w:hAnsi="Arial"/>
          <w:color w:val="222222"/>
          <w:sz w:val="20"/>
          <w:szCs w:val="20"/>
        </w:rPr>
        <w:t xml:space="preserve">El precio de mercado en proyectos similares (BONK, WIF) típicamente excede</w:t>
      </w:r>
    </w:p>
    <w:p>
      <w:pPr>
        <w:pBdr>
          <w:top w:val="none" w:sz="0" w:space="0" w:color="auto"/>
          <w:left w:val="single" w:color="1A3A5C" w:sz="4" w:space="1"/>
          <w:bottom w:val="single" w:color="1A3A5C" w:sz="4" w:space="1"/>
          <w:right w:val="single" w:color="1A3A5C" w:sz="4" w:space="1"/>
        </w:pBdr>
        <w:shd w:fill="F5F7FA" w:val="clear"/>
        <w:spacing w:before="40" w:after="120"/>
        <w:ind w:left="200" w:right="200"/>
      </w:pPr>
      <w:r>
        <w:rPr>
          <w:rFonts w:ascii="Arial" w:cs="Arial" w:eastAsia="Arial" w:hAnsi="Arial"/>
          <w:color w:val="222222"/>
          <w:sz w:val="20"/>
          <w:szCs w:val="20"/>
        </w:rPr>
        <w:t xml:space="preserve">el precio de respaldo en 10–1000x durante fases de hype.</w:t>
      </w:r>
    </w:p>
    <w:p>
      <w:pPr>
        <w:spacing w:before="100" w:after="80"/>
      </w:pPr>
      <w:r>
        <w:t xml:space="preserve"/>
      </w:r>
    </w:p>
    <w:p>
      <w:pPr>
        <w:spacing w:before="240" w:after="120"/>
      </w:pPr>
      <w:r>
        <w:rPr>
          <w:rFonts w:ascii="Arial" w:cs="Arial" w:eastAsia="Arial" w:hAnsi="Arial"/>
          <w:b/>
          <w:bCs/>
          <w:color w:val="1A3A5C"/>
          <w:sz w:val="28"/>
          <w:szCs w:val="28"/>
        </w:rPr>
        <w:t xml:space="preserve">9.3 Condiciones para que P_mercado ≥ P_th</w:t>
      </w:r>
    </w:p>
    <w:p>
      <w:pPr>
        <w:spacing w:before="50" w:after="50"/>
        <w:ind w:left="280"/>
      </w:pPr>
      <w:r>
        <w:rPr>
          <w:rFonts w:ascii="Arial" w:cs="Arial" w:eastAsia="Arial" w:hAnsi="Arial"/>
          <w:b/>
          <w:bCs/>
          <w:color w:val="1A3A5C"/>
          <w:sz w:val="20"/>
          <w:szCs w:val="20"/>
        </w:rPr>
        <w:t xml:space="preserve">Fase 1 (Bull/Hype): </w:t>
      </w:r>
      <w:r>
        <w:rPr>
          <w:rFonts w:ascii="Arial" w:cs="Arial" w:eastAsia="Arial" w:hAnsi="Arial"/>
          <w:color w:val="444444"/>
          <w:sz w:val="20"/>
          <w:szCs w:val="20"/>
        </w:rPr>
        <w:t xml:space="preserve">P_mercado &gt;&gt; P_th por efecto especulativo. Es el momento de bootstrapping del Vault.</w:t>
      </w:r>
    </w:p>
    <w:p>
      <w:pPr>
        <w:spacing w:before="50" w:after="50"/>
        <w:ind w:left="280"/>
      </w:pPr>
      <w:r>
        <w:rPr>
          <w:rFonts w:ascii="Arial" w:cs="Arial" w:eastAsia="Arial" w:hAnsi="Arial"/>
          <w:b/>
          <w:bCs/>
          <w:color w:val="1A3A5C"/>
          <w:sz w:val="20"/>
          <w:szCs w:val="20"/>
        </w:rPr>
        <w:t xml:space="preserve">Fase 2 (Madurez): </w:t>
      </w:r>
      <w:r>
        <w:rPr>
          <w:rFonts w:ascii="Arial" w:cs="Arial" w:eastAsia="Arial" w:hAnsi="Arial"/>
          <w:color w:val="444444"/>
          <w:sz w:val="20"/>
          <w:szCs w:val="20"/>
        </w:rPr>
        <w:t xml:space="preserve">P_mercado converge gradualmente hacia P_th conforme el protocolo pierde efecto especulativo.</w:t>
      </w:r>
    </w:p>
    <w:p>
      <w:pPr>
        <w:spacing w:before="50" w:after="50"/>
        <w:ind w:left="280"/>
      </w:pPr>
      <w:r>
        <w:rPr>
          <w:rFonts w:ascii="Arial" w:cs="Arial" w:eastAsia="Arial" w:hAnsi="Arial"/>
          <w:b/>
          <w:bCs/>
          <w:color w:val="1A3A5C"/>
          <w:sz w:val="20"/>
          <w:szCs w:val="20"/>
        </w:rPr>
        <w:t xml:space="preserve">Fase 3 (Soberanía): </w:t>
      </w:r>
      <w:r>
        <w:rPr>
          <w:rFonts w:ascii="Arial" w:cs="Arial" w:eastAsia="Arial" w:hAnsi="Arial"/>
          <w:color w:val="444444"/>
          <w:sz w:val="20"/>
          <w:szCs w:val="20"/>
        </w:rPr>
        <w:t xml:space="preserve">Si P_mercado &lt; P_th → el protocolo activa mecanismos de compra/recompra del propio supply, elevando el precio hacia P_th.</w:t>
      </w:r>
    </w:p>
    <w:p>
      <w:pPr>
        <w:spacing w:before="50" w:after="50"/>
        <w:ind w:left="280"/>
      </w:pPr>
      <w:r>
        <w:rPr>
          <w:rFonts w:ascii="Arial" w:cs="Arial" w:eastAsia="Arial" w:hAnsi="Arial"/>
          <w:b/>
          <w:bCs/>
          <w:color w:val="1A3A5C"/>
          <w:sz w:val="20"/>
          <w:szCs w:val="20"/>
        </w:rPr>
        <w:t xml:space="preserve">Riesgo de divergencia: </w:t>
      </w:r>
      <w:r>
        <w:rPr>
          <w:rFonts w:ascii="Arial" w:cs="Arial" w:eastAsia="Arial" w:hAnsi="Arial"/>
          <w:color w:val="444444"/>
          <w:sz w:val="20"/>
          <w:szCs w:val="20"/>
        </w:rPr>
        <w:t xml:space="preserve">Si P_mercado cae muy por debajo de P_th en Fase 1/2, los holders pueden ver el Vault como garantía e intentar una corrida. El circuit breaker del Vault (&gt;10% caída/hora) mitiga este riesgo.</w:t>
      </w:r>
    </w:p>
    <w:p>
      <w:pPr>
        <w:spacing w:before="80" w:after="80"/>
      </w:pPr>
      <w:r>
        <w:t xml:space="preserve"/>
      </w:r>
    </w:p>
    <w:p>
      <w:r>
        <w:br/>
      </w:r>
    </w:p>
    <w:p>
      <w:pPr>
        <w:pBdr>
          <w:top w:val="none" w:sz="0" w:space="0" w:color="auto"/>
          <w:bottom w:val="single" w:color="1A3A5C" w:sz="4" w:space="4"/>
        </w:pBdr>
        <w:spacing w:before="400" w:after="160"/>
      </w:pPr>
      <w:r>
        <w:rPr>
          <w:rFonts w:ascii="Arial" w:cs="Arial" w:eastAsia="Arial" w:hAnsi="Arial"/>
          <w:b/>
          <w:bCs/>
          <w:color w:val="1A3A5C"/>
          <w:sz w:val="36"/>
          <w:szCs w:val="36"/>
        </w:rPr>
        <w:t xml:space="preserve">10. VEREDICTO FINAL DE LA SIMULACIÓN</w:t>
      </w:r>
    </w:p>
    <w:p>
      <w:pPr>
        <w:pBdr>
          <w:top w:val="single" w:color="196F3D" w:sz="4" w:space="1"/>
          <w:left w:val="single" w:color="196F3D" w:sz="4" w:space="1"/>
          <w:bottom w:val="none" w:sz="0" w:space="0" w:color="auto"/>
          <w:right w:val="single" w:color="196F3D" w:sz="4" w:space="1"/>
        </w:pBdr>
        <w:shd w:fill="EAFAF1" w:val="clear"/>
        <w:spacing w:before="120" w:after="40"/>
        <w:ind w:left="200" w:right="200"/>
      </w:pPr>
      <w:r>
        <w:rPr>
          <w:rFonts w:ascii="Arial" w:cs="Arial" w:eastAsia="Arial" w:hAnsi="Arial"/>
          <w:color w:val="222222"/>
          <w:sz w:val="20"/>
          <w:szCs w:val="20"/>
        </w:rPr>
        <w:t xml:space="preserve">EL PROTOCOLO LUKASH v2.3 ES ESTRUCTURALMENTE VIABLE</w:t>
      </w:r>
    </w:p>
    <w:p>
      <w:pPr>
        <w:pBdr>
          <w:top w:val="none" w:sz="0" w:space="0" w:color="auto"/>
          <w:left w:val="single" w:color="196F3D" w:sz="4" w:space="1"/>
          <w:bottom w:val="none" w:sz="0" w:space="0" w:color="auto"/>
          <w:right w:val="single" w:color="196F3D" w:sz="4" w:space="1"/>
        </w:pBdr>
        <w:shd w:fill="EAFAF1" w:val="clear"/>
        <w:spacing w:before="40" w:after="40"/>
        <w:ind w:left="200" w:right="200"/>
      </w:pPr>
      <w:r>
        <w:rPr>
          <w:rFonts w:ascii="Arial" w:cs="Arial" w:eastAsia="Arial" w:hAnsi="Arial"/>
          <w:color w:val="222222"/>
          <w:sz w:val="20"/>
          <w:szCs w:val="20"/>
        </w:rPr>
        <w:t xml:space="preserve">con riesgo de colapso cercano a 0% y riesgo de estancamiento del 35% en escenarios adversos</w:t>
      </w:r>
    </w:p>
    <w:p>
      <w:pPr>
        <w:pBdr>
          <w:top w:val="none" w:sz="0" w:space="0" w:color="auto"/>
          <w:left w:val="single" w:color="196F3D" w:sz="4" w:space="1"/>
          <w:bottom w:val="single" w:color="196F3D" w:sz="4" w:space="1"/>
          <w:right w:val="single" w:color="196F3D" w:sz="4" w:space="1"/>
        </w:pBdr>
        <w:shd w:fill="EAFAF1" w:val="clear"/>
        <w:spacing w:before="40" w:after="120"/>
        <w:ind w:left="200" w:right="200"/>
      </w:pPr>
      <w:r>
        <w:rPr>
          <w:rFonts w:ascii="Arial" w:cs="Arial" w:eastAsia="Arial" w:hAnsi="Arial"/>
          <w:color w:val="222222"/>
          <w:sz w:val="20"/>
          <w:szCs w:val="20"/>
        </w:rPr>
        <w:t xml:space="preserve">Mejora cuantificada vs v2.1: +6.6% en Vault mediana | −0.2pp espiral de muerte | −5pp correlación en crisis | +7.7% R_op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LO QUE LA SIMULACIÓN CONFIRMA</w:t>
            </w:r>
          </w:p>
        </w:tc>
        <w:tc>
          <w:tcPr>
            <w:tcW w:type="dxa" w:w="4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LO QUE LA SIMULACIÓN ADVIERTE</w:t>
            </w:r>
          </w:p>
        </w:tc>
      </w:tr>
      <w:tr>
        <w:tc>
          <w:tcPr>
            <w:tcW w:type="dxa" w:w="4680"/>
            <w:tcBorders>
              <w:top w:val="single" w:color="CCCCCC" w:sz="1"/>
              <w:left w:val="single" w:color="CCCCCC" w:sz="1"/>
              <w:bottom w:val="single" w:color="CCCCCC" w:sz="1"/>
              <w:right w:val="single" w:color="CCCCCC" w:sz="1"/>
            </w:tcBorders>
            <w:shd w:fill="EAFAF1" w:val="clear"/>
            <w:tcMar>
              <w:top w:type="dxa" w:w="120"/>
              <w:left w:type="dxa" w:w="160"/>
              <w:bottom w:type="dxa" w:w="120"/>
              <w:right w:type="dxa" w:w="160"/>
            </w:tcMar>
          </w:tcPr>
          <w:p>
            <w:pPr>
              <w:spacing w:before="40" w:after="40"/>
            </w:pPr>
            <w:r>
              <w:rPr>
                <w:rFonts w:ascii="Arial" w:cs="Arial" w:eastAsia="Arial" w:hAnsi="Arial"/>
                <w:color w:val="222222"/>
                <w:sz w:val="20"/>
                <w:szCs w:val="20"/>
              </w:rPr>
              <w:t xml:space="preserve">• El Vault alcanza K_min ($25M) con 99.7% de probabilidad en 5 años</w:t>
            </w:r>
          </w:p>
          <w:p>
            <w:pPr>
              <w:spacing w:before="40" w:after="40"/>
            </w:pPr>
            <w:r>
              <w:rPr>
                <w:rFonts w:ascii="Arial" w:cs="Arial" w:eastAsia="Arial" w:hAnsi="Arial"/>
                <w:color w:val="222222"/>
                <w:sz w:val="20"/>
                <w:szCs w:val="20"/>
              </w:rPr>
              <w:t xml:space="preserve">• El supply objetivo (3.3B) se alcanza en el Año 1 bajo cualquier mercado activo</w:t>
            </w:r>
          </w:p>
          <w:p>
            <w:pPr>
              <w:spacing w:before="40" w:after="40"/>
            </w:pPr>
            <w:r>
              <w:rPr>
                <w:rFonts w:ascii="Arial" w:cs="Arial" w:eastAsia="Arial" w:hAnsi="Arial"/>
                <w:color w:val="222222"/>
                <w:sz w:val="20"/>
                <w:szCs w:val="20"/>
              </w:rPr>
              <w:t xml:space="preserve">• La ruina total del sistema tiene probabilidad 0.0%</w:t>
            </w:r>
          </w:p>
          <w:p>
            <w:pPr>
              <w:spacing w:before="40" w:after="40"/>
            </w:pPr>
            <w:r>
              <w:rPr>
                <w:rFonts w:ascii="Arial" w:cs="Arial" w:eastAsia="Arial" w:hAnsi="Arial"/>
                <w:color w:val="222222"/>
                <w:sz w:val="20"/>
                <w:szCs w:val="20"/>
              </w:rPr>
              <w:t xml:space="preserve">• La espiral de muerte tiene probabilidad 1.4% (−0.2pp vs v2.1)</w:t>
            </w:r>
          </w:p>
          <w:p>
            <w:pPr>
              <w:spacing w:before="40" w:after="40"/>
            </w:pPr>
            <w:r>
              <w:rPr>
                <w:rFonts w:ascii="Arial" w:cs="Arial" w:eastAsia="Arial" w:hAnsi="Arial"/>
                <w:color w:val="222222"/>
                <w:sz w:val="20"/>
                <w:szCs w:val="20"/>
              </w:rPr>
              <w:t xml:space="preserve">• El Motor B2 se activa en mediana a los 341 días (~11 meses)</w:t>
            </w:r>
          </w:p>
          <w:p>
            <w:pPr>
              <w:spacing w:before="40" w:after="40"/>
            </w:pPr>
            <w:r>
              <w:rPr>
                <w:rFonts w:ascii="Arial" w:cs="Arial" w:eastAsia="Arial" w:hAnsi="Arial"/>
                <w:color w:val="222222"/>
                <w:sz w:val="20"/>
                <w:szCs w:val="20"/>
              </w:rPr>
              <w:t xml:space="preserve">• El 86.1% de las simulaciones activan B2 antes del Año 2</w:t>
            </w:r>
          </w:p>
          <w:p>
            <w:pPr>
              <w:spacing w:before="40" w:after="40"/>
            </w:pPr>
            <w:r>
              <w:rPr>
                <w:rFonts w:ascii="Arial" w:cs="Arial" w:eastAsia="Arial" w:hAnsi="Arial"/>
                <w:color w:val="222222"/>
                <w:sz w:val="20"/>
                <w:szCs w:val="20"/>
              </w:rPr>
              <w:t xml:space="preserve">• El módulo LUKAI contra-cíclico genera ventaja de +23% en ciclos completos</w:t>
            </w:r>
          </w:p>
          <w:p>
            <w:pPr>
              <w:spacing w:before="40" w:after="40"/>
            </w:pPr>
            <w:r>
              <w:rPr>
                <w:rFonts w:ascii="Arial" w:cs="Arial" w:eastAsia="Arial" w:hAnsi="Arial"/>
                <w:color w:val="222222"/>
                <w:sz w:val="20"/>
                <w:szCs w:val="20"/>
              </w:rPr>
              <w:t xml:space="preserve">• Los 4 Frentes Estratégicos elevan el Vault mediana a 5 años de $37.2M a $63.8M (+71%)</w:t>
            </w:r>
          </w:p>
          <w:p>
            <w:pPr>
              <w:spacing w:before="40" w:after="40"/>
            </w:pPr>
            <w:r>
              <w:rPr>
                <w:rFonts w:ascii="Arial" w:cs="Arial" w:eastAsia="Arial" w:hAnsi="Arial"/>
                <w:color w:val="222222"/>
                <w:sz w:val="20"/>
                <w:szCs w:val="20"/>
              </w:rPr>
              <w:t xml:space="preserve">• La correlación del Vault en crisis baja de 0.55 (v2.1) a 0.46 (v2.3) al eliminar ETH/LINK</w:t>
            </w:r>
          </w:p>
        </w:tc>
        <w:tc>
          <w:tcPr>
            <w:tcW w:type="dxa" w:w="468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pPr>
              <w:spacing w:before="40" w:after="40"/>
            </w:pPr>
            <w:r>
              <w:rPr>
                <w:rFonts w:ascii="Arial" w:cs="Arial" w:eastAsia="Arial" w:hAnsi="Arial"/>
                <w:color w:val="222222"/>
                <w:sz w:val="20"/>
                <w:szCs w:val="20"/>
              </w:rPr>
              <w:t xml:space="preserve">• En bear prolongado: Motor B2 no activa. Solo B0 opera. El protocolo sobrevive pero no escala.</w:t>
            </w:r>
          </w:p>
          <w:p>
            <w:pPr>
              <w:spacing w:before="40" w:after="40"/>
            </w:pPr>
            <w:r>
              <w:rPr>
                <w:rFonts w:ascii="Arial" w:cs="Arial" w:eastAsia="Arial" w:hAnsi="Arial"/>
                <w:color w:val="222222"/>
                <w:sz w:val="20"/>
                <w:szCs w:val="20"/>
              </w:rPr>
              <w:t xml:space="preserve">• El éxito real depende del régimen de mercado del Año 1 — factor fuera del control del equipo</w:t>
            </w:r>
          </w:p>
          <w:p>
            <w:pPr>
              <w:spacing w:before="40" w:after="40"/>
            </w:pPr>
            <w:r>
              <w:rPr>
                <w:rFonts w:ascii="Arial" w:cs="Arial" w:eastAsia="Arial" w:hAnsi="Arial"/>
                <w:color w:val="222222"/>
                <w:sz w:val="20"/>
                <w:szCs w:val="20"/>
              </w:rPr>
              <w:t xml:space="preserve">• La adopción de usuarios de la App es el factor de incertidumbre más alto del modelo</w:t>
            </w:r>
          </w:p>
          <w:p>
            <w:pPr>
              <w:spacing w:before="40" w:after="40"/>
            </w:pPr>
            <w:r>
              <w:rPr>
                <w:rFonts w:ascii="Arial" w:cs="Arial" w:eastAsia="Arial" w:hAnsi="Arial"/>
                <w:color w:val="222222"/>
                <w:sz w:val="20"/>
                <w:szCs w:val="20"/>
              </w:rPr>
              <w:t xml:space="preserve">• En crash total (10% prob.), el protocolo queda en modo mínimo con $293K en Vault</w:t>
            </w:r>
          </w:p>
          <w:p>
            <w:pPr>
              <w:spacing w:before="40" w:after="40"/>
            </w:pPr>
            <w:r>
              <w:rPr>
                <w:rFonts w:ascii="Arial" w:cs="Arial" w:eastAsia="Arial" w:hAnsi="Arial"/>
                <w:color w:val="222222"/>
                <w:sz w:val="20"/>
                <w:szCs w:val="20"/>
              </w:rPr>
              <w:t xml:space="preserve">• El precio de $LUKA no puede modelarse — es el mayor riesgo no cuantificable</w:t>
            </w:r>
          </w:p>
          <w:p>
            <w:pPr>
              <w:spacing w:before="40" w:after="40"/>
            </w:pPr>
            <w:r>
              <w:rPr>
                <w:rFonts w:ascii="Arial" w:cs="Arial" w:eastAsia="Arial" w:hAnsi="Arial"/>
                <w:color w:val="222222"/>
                <w:sz w:val="20"/>
                <w:szCs w:val="20"/>
              </w:rPr>
              <w:t xml:space="preserve">• USDC lending (5%): riesgo nuevo de liquidez &lt;24h en estrés extremo (3% prob., baja severidad)</w:t>
            </w:r>
          </w:p>
          <w:p>
            <w:pPr>
              <w:spacing w:before="40" w:after="40"/>
            </w:pPr>
            <w:r>
              <w:rPr>
                <w:rFonts w:ascii="Arial" w:cs="Arial" w:eastAsia="Arial" w:hAnsi="Arial"/>
                <w:color w:val="222222"/>
                <w:sz w:val="20"/>
                <w:szCs w:val="20"/>
              </w:rPr>
              <w:t xml:space="preserve">• La ventana de lanzamiento (régimen de mercado) es crítica y estratégica</w:t>
            </w:r>
          </w:p>
        </w:tc>
      </w:tr>
    </w:tbl>
    <w:p>
      <w:pPr>
        <w:spacing w:before="100" w:after="80"/>
      </w:pPr>
      <w:r>
        <w:t xml:space="preserve"/>
      </w:r>
    </w:p>
    <w:p>
      <w:pPr>
        <w:spacing w:before="240" w:after="120"/>
      </w:pPr>
      <w:r>
        <w:rPr>
          <w:rFonts w:ascii="Arial" w:cs="Arial" w:eastAsia="Arial" w:hAnsi="Arial"/>
          <w:b/>
          <w:bCs/>
          <w:color w:val="1A3A5C"/>
          <w:sz w:val="28"/>
          <w:szCs w:val="28"/>
        </w:rPr>
        <w:t xml:space="preserve">10.1 Condiciones Mínimas para Supervivencia (Validadas por Simulación)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200"/>
      </w:tblGrid>
      <w:tr>
        <w:tc>
          <w:tcPr>
            <w:tcW w:type="dxa" w:w="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CONDICIÓN</w:t>
            </w:r>
          </w:p>
        </w:tc>
        <w:tc>
          <w:tcPr>
            <w:tcW w:type="dxa" w:w="5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RESULTADO EN SIMULACIÓN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Volumen Motor A ≥ $500K/día en primeros 90 días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Con este mínimo, supply alcanza 3.3B en ~6 meses. Vault inicia crecimiento.</w:t>
            </w:r>
          </w:p>
        </w:tc>
      </w:tr>
      <w:tr>
        <w:tc>
          <w:tcPr>
            <w:tcW w:type="dxa" w:w="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K_min activado antes de operar Motor B2 a escala</w:t>
            </w:r>
          </w:p>
        </w:tc>
        <w:tc>
          <w:tcPr>
            <w:tcW w:type="dxa" w:w="5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Implementado en contrato. Imposible violar. Confirmado en simulación.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Throttle dinámico activo en Motor B2</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Reduce probabilidad de espiral de 8%→1.4%. Confirmado crítico.</w:t>
            </w:r>
          </w:p>
        </w:tc>
      </w:tr>
      <w:tr>
        <w:tc>
          <w:tcPr>
            <w:tcW w:type="dxa" w:w="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4</w:t>
            </w:r>
          </w:p>
        </w:tc>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Vault v2.3 con 25% USDC reserva + 5% USDC lending activo</w:t>
            </w:r>
          </w:p>
        </w:tc>
        <w:tc>
          <w:tcPr>
            <w:tcW w:type="dxa" w:w="5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En crash, Vault preserva $51K–$293K vs. colapso total sin buffer. USDC lending añade $100K–$200K anuales en Vault $50M.</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Lanzamiento en ventana de mercado neutral o mejor</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En bear desde día 1: Vault no supera $4.6M mediana. Objetivo de $25M muy difícil.</w:t>
            </w:r>
          </w:p>
        </w:tc>
      </w:tr>
      <w:tr>
        <w:tc>
          <w:tcPr>
            <w:tcW w:type="dxa" w:w="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6</w:t>
            </w:r>
          </w:p>
        </w:tc>
        <w:tc>
          <w:tcPr>
            <w:tcW w:type="dxa" w:w="3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Módulo LUKAI contra-cíclico activo desde el lanzamiento</w:t>
            </w:r>
          </w:p>
        </w:tc>
        <w:tc>
          <w:tcPr>
            <w:tcW w:type="dxa" w:w="5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222222"/>
                <w:sz w:val="20"/>
                <w:szCs w:val="20"/>
              </w:rPr>
              <w:t xml:space="preserve">NUEVO en v2.3. Ventaja de +23% en ciclos completos. Requiere implementación antes del TGE.</w:t>
            </w:r>
          </w:p>
        </w:tc>
      </w:tr>
    </w:tbl>
    <w:p>
      <w:pPr>
        <w:spacing w:before="100" w:after="80"/>
      </w:pPr>
      <w:r>
        <w:t xml:space="preserve"/>
      </w:r>
    </w:p>
    <w:p>
      <w:pPr>
        <w:pBdr>
          <w:top w:val="single" w:color="1A3A5C" w:sz="4" w:space="1"/>
          <w:left w:val="single" w:color="1A3A5C" w:sz="4" w:space="1"/>
          <w:bottom w:val="none" w:sz="0" w:space="0" w:color="auto"/>
          <w:right w:val="single" w:color="1A3A5C" w:sz="4" w:space="1"/>
        </w:pBdr>
        <w:shd w:fill="EBF5FB" w:val="clear"/>
        <w:spacing w:before="120" w:after="40"/>
        <w:ind w:left="200" w:right="200"/>
      </w:pPr>
      <w:r>
        <w:rPr>
          <w:rFonts w:ascii="Arial" w:cs="Arial" w:eastAsia="Arial" w:hAnsi="Arial"/>
          <w:color w:val="222222"/>
          <w:sz w:val="20"/>
          <w:szCs w:val="20"/>
        </w:rPr>
        <w:t xml:space="preserve">RECOMENDACIÓN ESTRATÉGICA DERIVADA DE LA SIMULACIÓN v2.3:</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La decisión más importante que el equipo tomará no es técnica sino temporal: ¿En qué régimen de mercado lanzar el protocolo?</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Un lanzamiento en mercado bull o neutral (65% de probabilidad histórica en ciclos de 5 años) genera un escenario donde el Vault alcanza K_min en el Año 1 con alta probabilidad.</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Con los 4 Frentes Estratégicos activos simultáneamente, la probabilidad de activar B2 en el Año 1 sube al 82.3% incluso en escenario NEUTRAL.</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Un lanzamiento en mercado bear alarga el camino a K_min a 3+ años, durante los cuales el protocolo opera solo con Motor B0 (quema pura) — funcionando pero sin el Motor B2 completo.</w:t>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
      </w:r>
    </w:p>
    <w:p>
      <w:pPr>
        <w:pBdr>
          <w:top w:val="none" w:sz="0" w:space="0" w:color="auto"/>
          <w:left w:val="single" w:color="1A3A5C" w:sz="4" w:space="1"/>
          <w:bottom w:val="none" w:sz="0" w:space="0" w:color="auto"/>
          <w:right w:val="single" w:color="1A3A5C" w:sz="4" w:space="1"/>
        </w:pBdr>
        <w:shd w:fill="EBF5FB" w:val="clear"/>
        <w:spacing w:before="40" w:after="40"/>
        <w:ind w:left="200" w:right="200"/>
      </w:pPr>
      <w:r>
        <w:rPr>
          <w:rFonts w:ascii="Arial" w:cs="Arial" w:eastAsia="Arial" w:hAnsi="Arial"/>
          <w:color w:val="222222"/>
          <w:sz w:val="20"/>
          <w:szCs w:val="20"/>
        </w:rPr>
        <w:t xml:space="preserve">La combinación óptima es: (1) timing correcto de lanzamiento + (2) 4 Frentes Estratégicos activos + (3) módulo LUKAI contra-cíclico implementado.</w:t>
      </w:r>
    </w:p>
    <w:p>
      <w:pPr>
        <w:pBdr>
          <w:top w:val="none" w:sz="0" w:space="0" w:color="auto"/>
          <w:left w:val="single" w:color="1A3A5C" w:sz="4" w:space="1"/>
          <w:bottom w:val="single" w:color="1A3A5C" w:sz="4" w:space="1"/>
          <w:right w:val="single" w:color="1A3A5C" w:sz="4" w:space="1"/>
        </w:pBdr>
        <w:shd w:fill="EBF5FB" w:val="clear"/>
        <w:spacing w:before="40" w:after="120"/>
        <w:ind w:left="200" w:right="200"/>
      </w:pPr>
      <w:r>
        <w:rPr>
          <w:rFonts w:ascii="Arial" w:cs="Arial" w:eastAsia="Arial" w:hAnsi="Arial"/>
          <w:color w:val="222222"/>
          <w:sz w:val="20"/>
          <w:szCs w:val="20"/>
        </w:rPr>
        <w:t xml:space="preserve">Esta combinación lleva el resultado esperado de P50 ($37.2M) a un rango de P65–P75 ($55M–$80M), independientemente del ciclo.</w:t>
      </w:r>
    </w:p>
    <w:p>
      <w:pPr>
        <w:spacing w:before="120" w:after="80"/>
      </w:pPr>
      <w:r>
        <w:t xml:space="preserve"/>
      </w:r>
    </w:p>
    <w:p>
      <w:pPr>
        <w:spacing w:before="0" w:after="80"/>
        <w:jc w:val="center"/>
      </w:pPr>
      <w:r>
        <w:rPr>
          <w:rFonts w:ascii="Arial" w:cs="Arial" w:eastAsia="Arial" w:hAnsi="Arial"/>
          <w:i/>
          <w:iCs/>
          <w:color w:val="444444"/>
          <w:sz w:val="18"/>
          <w:szCs w:val="18"/>
        </w:rPr>
        <w:t xml:space="preserve">— Fin de la Simulación Monte Carlo — LUKASH Protocol v2.3 — 5,000 iteraciones × 1,825 días | Cadenas de Markov | Marzo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2026-03-02T06:16:22.466Z</dcterms:created>
  <dcterms:modified xsi:type="dcterms:W3CDTF">2026-03-02T06:16:22.467Z</dcterms:modified>
</cp:coreProperties>
</file>

<file path=docProps/custom.xml><?xml version="1.0" encoding="utf-8"?>
<Properties xmlns="http://schemas.openxmlformats.org/officeDocument/2006/custom-properties" xmlns:vt="http://schemas.openxmlformats.org/officeDocument/2006/docPropsVTypes"/>
</file>