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r>
        <w:t xml:space="preserve"/>
      </w:r>
    </w:p>
    <w:p>
      <w:pPr>
        <w:spacing w:before="0" w:after="60"/>
        <w:jc w:val="center"/>
      </w:pPr>
      <w:r>
        <w:rPr>
          <w:rFonts w:ascii="Arial" w:cs="Arial" w:eastAsia="Arial" w:hAnsi="Arial"/>
          <w:b/>
          <w:bCs/>
          <w:color w:val="C9A84C"/>
          <w:sz w:val="72"/>
          <w:szCs w:val="72"/>
        </w:rPr>
        <w:t xml:space="preserve">LUKASH PROTOCOL</w:t>
      </w:r>
    </w:p>
    <w:p>
      <w:pPr>
        <w:spacing w:before="0" w:after="200"/>
        <w:jc w:val="center"/>
      </w:pPr>
      <w:r>
        <w:rPr>
          <w:rFonts w:ascii="Arial" w:cs="Arial" w:eastAsia="Arial" w:hAnsi="Arial"/>
          <w:b w:val="false"/>
          <w:bCs w:val="false"/>
          <w:color w:val="FFFFFF"/>
          <w:sz w:val="36"/>
          <w:szCs w:val="36"/>
        </w:rPr>
        <w:t xml:space="preserve">BUSINESS MODEL CANVAS v2.0</w:t>
      </w:r>
    </w:p>
    <w:p>
      <w:pPr>
        <w:pBdr>
          <w:top w:val="single" w:color="C9A84C" w:sz="6" w:space="4"/>
          <w:bottom w:val="single" w:color="C9A84C" w:sz="6" w:space="4"/>
        </w:pBdr>
        <w:spacing w:before="120" w:after="120"/>
        <w:jc w:val="center"/>
      </w:pPr>
      <w:r>
        <w:rPr>
          <w:rFonts w:ascii="Arial" w:cs="Arial" w:eastAsia="Arial" w:hAnsi="Arial"/>
          <w:i/>
          <w:iCs/>
          <w:color w:val="F4F1E8"/>
          <w:sz w:val="26"/>
          <w:szCs w:val="26"/>
        </w:rPr>
        <w:t xml:space="preserve">Soberanía Financiera Descentralizada para Latinoamérica</w:t>
      </w:r>
    </w:p>
    <w:p>
      <w:pPr>
        <w:spacing w:before="400" w:after="0"/>
      </w:pPr>
      <w:r>
        <w:t xml:space="preserve"/>
      </w:r>
    </w:p>
    <w:p>
      <w:pPr>
        <w:spacing w:before="0" w:after="40"/>
        <w:jc w:val="center"/>
      </w:pPr>
      <w:r>
        <w:rPr>
          <w:rFonts w:ascii="Arial" w:cs="Arial" w:eastAsia="Arial" w:hAnsi="Arial"/>
          <w:color w:val="AAAAAA"/>
          <w:sz w:val="20"/>
          <w:szCs w:val="20"/>
        </w:rPr>
        <w:t xml:space="preserve">Arquitectura Consolidada: Motores A–D · Estándar KASH · LUKAI v3.1</w:t>
      </w:r>
    </w:p>
    <w:p>
      <w:pPr>
        <w:spacing w:before="0" w:after="40"/>
        <w:jc w:val="center"/>
      </w:pPr>
      <w:r>
        <w:rPr>
          <w:rFonts w:ascii="Arial" w:cs="Arial" w:eastAsia="Arial" w:hAnsi="Arial"/>
          <w:color w:val="AAAAAA"/>
          <w:sz w:val="20"/>
          <w:szCs w:val="20"/>
        </w:rPr>
        <w:t xml:space="preserve">Simulación Monte Carlo: 5,000 iteraciones · Riesgo de Ruina: 0.0%</w:t>
      </w:r>
    </w:p>
    <w:p>
      <w:pPr>
        <w:spacing w:before="600" w:after="0"/>
      </w:pPr>
      <w:r>
        <w:t xml:space="preserve"/>
      </w:r>
    </w:p>
    <w:p>
      <w:pPr>
        <w:jc w:val="center"/>
      </w:pPr>
      <w:r>
        <w:rPr>
          <w:rFonts w:ascii="Arial" w:cs="Arial" w:eastAsia="Arial" w:hAnsi="Arial"/>
          <w:b/>
          <w:bCs/>
          <w:color w:val="FFFFFF"/>
          <w:sz w:val="22"/>
          <w:szCs w:val="22"/>
        </w:rPr>
        <w:t xml:space="preserve">Ing. Sebastián Botero Pabón</w:t>
      </w:r>
    </w:p>
    <w:p>
      <w:pPr>
        <w:jc w:val="center"/>
      </w:pPr>
      <w:r>
        <w:rPr>
          <w:rFonts w:ascii="Arial" w:cs="Arial" w:eastAsia="Arial" w:hAnsi="Arial"/>
          <w:color w:val="AAAAAA"/>
          <w:sz w:val="20"/>
          <w:szCs w:val="20"/>
        </w:rPr>
        <w:t xml:space="preserve">Arquitecto del Protocolo | Marzo 2026</w:t>
      </w:r>
    </w:p>
    <w:p>
      <w:r>
        <w:br w:type="page"/>
      </w:r>
    </w:p>
    <w:p>
      <w:pPr>
        <w:pStyle w:val="Heading1"/>
        <w:spacing w:before="360" w:after="120"/>
      </w:pPr>
      <w:r>
        <w:rPr>
          <w:rFonts w:ascii="Arial" w:cs="Arial" w:eastAsia="Arial" w:hAnsi="Arial"/>
          <w:b/>
          <w:bCs/>
          <w:color w:val="1A1A2E"/>
          <w:sz w:val="34"/>
          <w:szCs w:val="34"/>
        </w:rPr>
        <w:t xml:space="preserve">LUKASH PROTOCOL — BUSINESS MODEL CANVAS v2.0</w:t>
      </w:r>
    </w:p>
    <w:p>
      <w:pPr>
        <w:spacing w:before="60" w:after="80"/>
      </w:pPr>
      <w:r>
        <w:rPr>
          <w:rFonts w:ascii="Arial" w:cs="Arial" w:eastAsia="Arial" w:hAnsi="Arial"/>
          <w:i/>
          <w:iCs/>
          <w:color w:val="666666"/>
          <w:sz w:val="20"/>
          <w:szCs w:val="20"/>
        </w:rPr>
        <w:t xml:space="preserve">Arquitectura Definitiva Integrada | Ing. Sebastián Botero Pabón | Marzo 2026</w:t>
      </w:r>
    </w:p>
    <w:p>
      <w:pPr>
        <w:spacing w:before="120" w:after="0"/>
      </w:pPr>
      <w:r>
        <w:t xml:space="preserve"/>
      </w:r>
    </w:p>
    <w:p>
      <w:pPr>
        <w:pStyle w:val="Heading2"/>
        <w:pBdr>
          <w:bottom w:val="single" w:color="C9A84C" w:sz="4" w:space="2"/>
        </w:pBdr>
        <w:spacing w:before="280" w:after="100"/>
      </w:pPr>
      <w:r>
        <w:rPr>
          <w:rFonts w:ascii="Arial" w:cs="Arial" w:eastAsia="Arial" w:hAnsi="Arial"/>
          <w:b/>
          <w:bCs/>
          <w:color w:val="2D6A4F"/>
          <w:sz w:val="26"/>
          <w:szCs w:val="26"/>
        </w:rPr>
        <w:t xml:space="preserve">1. PROPUESTA DE VALOR</w:t>
      </w:r>
    </w:p>
    <w:p>
      <w:pPr>
        <w:spacing w:before="0" w:after="80"/>
      </w:pPr>
      <w:r>
        <w:rPr>
          <w:rFonts w:ascii="Arial" w:cs="Arial" w:eastAsia="Arial" w:hAnsi="Arial"/>
          <w:b/>
          <w:bCs/>
          <w:caps/>
          <w:color w:val="C9A84C"/>
          <w:sz w:val="18"/>
          <w:szCs w:val="18"/>
        </w:rPr>
        <w:t xml:space="preserve">Soberanía Financiera como Infraestructura Cultural</w:t>
      </w:r>
    </w:p>
    <w:p>
      <w:pPr>
        <w:spacing w:before="60" w:after="0"/>
      </w:pPr>
      <w:r>
        <w:t xml:space="preserve"/>
      </w:r>
    </w:p>
    <w:p>
      <w:pPr>
        <w:spacing w:before="60" w:after="80"/>
      </w:pPr>
      <w:r>
        <w:rPr>
          <w:rFonts w:ascii="Arial" w:cs="Arial" w:eastAsia="Arial" w:hAnsi="Arial"/>
          <w:color w:val="1A1A2E"/>
          <w:sz w:val="20"/>
          <w:szCs w:val="20"/>
        </w:rPr>
        <w:t xml:space="preserve">LUKASH entrega Soberanía Financiera Real a través de tres pilares inseparables: respaldo algorítmico en activos duros, experiencia de usuario gamificada y una interfaz conversacional de inteligencia artificial (LUKAI v3.1) que elimina la fricción técnica.</w:t>
      </w:r>
    </w:p>
    <w:p>
      <w:pPr>
        <w:spacing w:before="80" w:after="0"/>
      </w:pPr>
      <w:r>
        <w:t xml:space="preserve"/>
      </w:r>
    </w:p>
    <w:p>
      <w:pPr>
        <w:spacing w:before="200" w:after="60"/>
      </w:pPr>
      <w:r>
        <w:rPr>
          <w:rFonts w:ascii="Arial" w:cs="Arial" w:eastAsia="Arial" w:hAnsi="Arial"/>
          <w:b/>
          <w:bCs/>
          <w:color w:val="3D405B"/>
          <w:sz w:val="22"/>
          <w:szCs w:val="22"/>
        </w:rPr>
        <w:t xml:space="preserve">1.1 Estándar KASH — Valor Intrínseco Creciente</w:t>
      </w:r>
    </w:p>
    <w:p>
      <w:pPr>
        <w:spacing w:before="60" w:after="80"/>
      </w:pPr>
      <w:r>
        <w:rPr>
          <w:rFonts w:ascii="Arial" w:cs="Arial" w:eastAsia="Arial" w:hAnsi="Arial"/>
          <w:color w:val="1A1A2E"/>
          <w:sz w:val="20"/>
          <w:szCs w:val="20"/>
        </w:rPr>
        <w:t xml:space="preserve">El Estándar KASH (Protocolo de Colateralización Multiactivo — PCM) garantiza que cada unidad de $LUKA esté respaldada por una reserva creciente de activos duros, gestionada algorítmicamente y auditada íntegramente on-chain. Su principio fundamental es deflacionario y opuesto a la reserva fraccionaria tradicional.</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4F" w:sz="12"/>
              <w:left w:val="single" w:color="2D6A4F" w:sz="20"/>
              <w:bottom w:val="single" w:color="2D6A4F" w:sz="6"/>
              <w:right w:val="single" w:color="2D6A4F" w:sz="6"/>
            </w:tcBorders>
            <w:shd w:fill="EEF5E8" w:val="clear"/>
            <w:tcMar>
              <w:top w:type="dxa" w:w="140"/>
              <w:left w:type="dxa" w:w="200"/>
              <w:bottom w:type="dxa" w:w="140"/>
              <w:right w:type="dxa" w:w="200"/>
            </w:tcMar>
          </w:tcPr>
          <w:p>
            <w:r>
              <w:rPr>
                <w:rFonts w:ascii="Arial" w:cs="Arial" w:eastAsia="Arial" w:hAnsi="Arial"/>
                <w:b/>
                <w:bCs/>
                <w:color w:val="2D6A4F"/>
                <w:sz w:val="20"/>
                <w:szCs w:val="20"/>
              </w:rPr>
              <w:t xml:space="preserve">FÓRMULA: PRECIO KASH — El Piso de Valor Institucional</w:t>
            </w:r>
          </w:p>
          <w:p>
            <w:pPr>
              <w:spacing w:before="60"/>
            </w:pPr>
            <w:r>
              <w:rPr>
                <w:rFonts w:ascii="Arial" w:cs="Arial" w:eastAsia="Arial" w:hAnsi="Arial"/>
                <w:color w:val="1A1A2E"/>
                <w:sz w:val="19"/>
                <w:szCs w:val="19"/>
              </w:rPr>
              <w:t xml:space="preserve">P_KASH (t) = Valor Total del Vault / Supply Circulante
Este precio representa el valor al que el protocolo puede recomprar la totalidad de los tokens. Es el único precio que el protocolo garantiza con activos reales — no el precio de mercado especulativo.</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340"/>
        <w:gridCol w:w="1872"/>
        <w:gridCol w:w="1872"/>
        <w:gridCol w:w="1404"/>
      </w:tblGrid>
      <w:tr>
        <w:trPr>
          <w:tblHeader/>
        </w:trPr>
        <w:tc>
          <w:tcPr>
            <w:tcW w:type="dxa" w:w="1872"/>
            <w:tcBorders>
              <w:top w:val="single" w:color="2D6A4F" w:sz="6"/>
              <w:left w:val="single" w:color="2D6A4F" w:sz="6"/>
              <w:bottom w:val="single" w:color="2D6A4F" w:sz="6"/>
              <w:right w:val="single" w:color="2D6A4F" w:sz="6"/>
            </w:tcBorders>
            <w:shd w:fill="2D6A4F" w:val="clear"/>
            <w:tcMar>
              <w:top w:type="dxa" w:w="100"/>
              <w:left w:type="dxa" w:w="140"/>
              <w:bottom w:type="dxa" w:w="100"/>
              <w:right w:type="dxa" w:w="140"/>
            </w:tcMar>
            <w:vAlign w:val="center"/>
          </w:tcPr>
          <w:p>
            <w:r>
              <w:rPr>
                <w:rFonts w:ascii="Arial" w:cs="Arial" w:eastAsia="Arial" w:hAnsi="Arial"/>
                <w:b/>
                <w:bCs/>
                <w:color w:val="FFFFFF"/>
                <w:sz w:val="18"/>
                <w:szCs w:val="18"/>
              </w:rPr>
              <w:t xml:space="preserve">Año</w:t>
            </w:r>
          </w:p>
        </w:tc>
        <w:tc>
          <w:tcPr>
            <w:tcW w:type="dxa" w:w="2340"/>
            <w:tcBorders>
              <w:top w:val="single" w:color="2D6A4F" w:sz="6"/>
              <w:left w:val="single" w:color="2D6A4F" w:sz="6"/>
              <w:bottom w:val="single" w:color="2D6A4F" w:sz="6"/>
              <w:right w:val="single" w:color="2D6A4F" w:sz="6"/>
            </w:tcBorders>
            <w:shd w:fill="2D6A4F" w:val="clear"/>
            <w:tcMar>
              <w:top w:type="dxa" w:w="100"/>
              <w:left w:type="dxa" w:w="140"/>
              <w:bottom w:type="dxa" w:w="100"/>
              <w:right w:type="dxa" w:w="140"/>
            </w:tcMar>
            <w:vAlign w:val="center"/>
          </w:tcPr>
          <w:p>
            <w:r>
              <w:rPr>
                <w:rFonts w:ascii="Arial" w:cs="Arial" w:eastAsia="Arial" w:hAnsi="Arial"/>
                <w:b/>
                <w:bCs/>
                <w:color w:val="FFFFFF"/>
                <w:sz w:val="18"/>
                <w:szCs w:val="18"/>
              </w:rPr>
              <w:t xml:space="preserve">Vault (Mediana)</w:t>
            </w:r>
          </w:p>
        </w:tc>
        <w:tc>
          <w:tcPr>
            <w:tcW w:type="dxa" w:w="1872"/>
            <w:tcBorders>
              <w:top w:val="single" w:color="2D6A4F" w:sz="6"/>
              <w:left w:val="single" w:color="2D6A4F" w:sz="6"/>
              <w:bottom w:val="single" w:color="2D6A4F" w:sz="6"/>
              <w:right w:val="single" w:color="2D6A4F" w:sz="6"/>
            </w:tcBorders>
            <w:shd w:fill="2D6A4F" w:val="clear"/>
            <w:tcMar>
              <w:top w:type="dxa" w:w="100"/>
              <w:left w:type="dxa" w:w="140"/>
              <w:bottom w:type="dxa" w:w="100"/>
              <w:right w:type="dxa" w:w="140"/>
            </w:tcMar>
            <w:vAlign w:val="center"/>
          </w:tcPr>
          <w:p>
            <w:r>
              <w:rPr>
                <w:rFonts w:ascii="Arial" w:cs="Arial" w:eastAsia="Arial" w:hAnsi="Arial"/>
                <w:b/>
                <w:bCs/>
                <w:color w:val="FFFFFF"/>
                <w:sz w:val="18"/>
                <w:szCs w:val="18"/>
              </w:rPr>
              <w:t xml:space="preserve">Supply Objetivo</w:t>
            </w:r>
          </w:p>
        </w:tc>
        <w:tc>
          <w:tcPr>
            <w:tcW w:type="dxa" w:w="1872"/>
            <w:tcBorders>
              <w:top w:val="single" w:color="2D6A4F" w:sz="6"/>
              <w:left w:val="single" w:color="2D6A4F" w:sz="6"/>
              <w:bottom w:val="single" w:color="2D6A4F" w:sz="6"/>
              <w:right w:val="single" w:color="2D6A4F" w:sz="6"/>
            </w:tcBorders>
            <w:shd w:fill="2D6A4F" w:val="clear"/>
            <w:tcMar>
              <w:top w:type="dxa" w:w="100"/>
              <w:left w:type="dxa" w:w="140"/>
              <w:bottom w:type="dxa" w:w="100"/>
              <w:right w:type="dxa" w:w="140"/>
            </w:tcMar>
            <w:vAlign w:val="center"/>
          </w:tcPr>
          <w:p>
            <w:r>
              <w:rPr>
                <w:rFonts w:ascii="Arial" w:cs="Arial" w:eastAsia="Arial" w:hAnsi="Arial"/>
                <w:b/>
                <w:bCs/>
                <w:color w:val="FFFFFF"/>
                <w:sz w:val="18"/>
                <w:szCs w:val="18"/>
              </w:rPr>
              <w:t xml:space="preserve">P_KASH (Piso)</w:t>
            </w:r>
          </w:p>
        </w:tc>
        <w:tc>
          <w:tcPr>
            <w:tcW w:type="dxa" w:w="1404"/>
            <w:tcBorders>
              <w:top w:val="single" w:color="2D6A4F" w:sz="6"/>
              <w:left w:val="single" w:color="2D6A4F" w:sz="6"/>
              <w:bottom w:val="single" w:color="2D6A4F" w:sz="6"/>
              <w:right w:val="single" w:color="2D6A4F" w:sz="6"/>
            </w:tcBorders>
            <w:shd w:fill="2D6A4F" w:val="clear"/>
            <w:tcMar>
              <w:top w:type="dxa" w:w="100"/>
              <w:left w:type="dxa" w:w="140"/>
              <w:bottom w:type="dxa" w:w="100"/>
              <w:right w:type="dxa" w:w="140"/>
            </w:tcMar>
            <w:vAlign w:val="center"/>
          </w:tcPr>
          <w:p>
            <w:r>
              <w:rPr>
                <w:rFonts w:ascii="Arial" w:cs="Arial" w:eastAsia="Arial" w:hAnsi="Arial"/>
                <w:b/>
                <w:bCs/>
                <w:color w:val="FFFFFF"/>
                <w:sz w:val="18"/>
                <w:szCs w:val="18"/>
              </w:rPr>
              <w:t xml:space="preserve">Múltiplo vs TGE ($0.0001)</w:t>
            </w:r>
          </w:p>
        </w:tc>
      </w:tr>
      <w:tr>
        <w:trPr>
          <w:tblHeader w:val="false"/>
        </w:trPr>
        <w:tc>
          <w:tcPr>
            <w:tcW w:type="dxa" w:w="1872"/>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Año 1</w:t>
            </w:r>
          </w:p>
        </w:tc>
        <w:tc>
          <w:tcPr>
            <w:tcW w:type="dxa" w:w="2340"/>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$20.9M</w:t>
            </w:r>
          </w:p>
        </w:tc>
        <w:tc>
          <w:tcPr>
            <w:tcW w:type="dxa" w:w="1872"/>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3.3B $LUKA</w:t>
            </w:r>
          </w:p>
        </w:tc>
        <w:tc>
          <w:tcPr>
            <w:tcW w:type="dxa" w:w="1872"/>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$0.0063</w:t>
            </w:r>
          </w:p>
        </w:tc>
        <w:tc>
          <w:tcPr>
            <w:tcW w:type="dxa" w:w="1404"/>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63x</w:t>
            </w:r>
          </w:p>
        </w:tc>
      </w:tr>
      <w:tr>
        <w:trPr>
          <w:tblHeader w:val="false"/>
        </w:trPr>
        <w:tc>
          <w:tcPr>
            <w:tcW w:type="dxa" w:w="1872"/>
            <w:tcBorders>
              <w:top w:val="single" w:color="DDDDDD" w:sz="6"/>
              <w:left w:val="single" w:color="DDDDDD" w:sz="6"/>
              <w:bottom w:val="single" w:color="DDDDDD" w:sz="6"/>
              <w:right w:val="single" w:color="DDDDDD" w:sz="6"/>
            </w:tcBorders>
            <w:shd w:fill="F8F5E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Año 2</w:t>
            </w:r>
          </w:p>
        </w:tc>
        <w:tc>
          <w:tcPr>
            <w:tcW w:type="dxa" w:w="2340"/>
            <w:tcBorders>
              <w:top w:val="single" w:color="DDDDDD" w:sz="6"/>
              <w:left w:val="single" w:color="DDDDDD" w:sz="6"/>
              <w:bottom w:val="single" w:color="DDDDDD" w:sz="6"/>
              <w:right w:val="single" w:color="DDDDDD" w:sz="6"/>
            </w:tcBorders>
            <w:shd w:fill="F8F5E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$29.6M</w:t>
            </w:r>
          </w:p>
        </w:tc>
        <w:tc>
          <w:tcPr>
            <w:tcW w:type="dxa" w:w="1872"/>
            <w:tcBorders>
              <w:top w:val="single" w:color="DDDDDD" w:sz="6"/>
              <w:left w:val="single" w:color="DDDDDD" w:sz="6"/>
              <w:bottom w:val="single" w:color="DDDDDD" w:sz="6"/>
              <w:right w:val="single" w:color="DDDDDD" w:sz="6"/>
            </w:tcBorders>
            <w:shd w:fill="F8F5E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3.3B $LUKA</w:t>
            </w:r>
          </w:p>
        </w:tc>
        <w:tc>
          <w:tcPr>
            <w:tcW w:type="dxa" w:w="1872"/>
            <w:tcBorders>
              <w:top w:val="single" w:color="DDDDDD" w:sz="6"/>
              <w:left w:val="single" w:color="DDDDDD" w:sz="6"/>
              <w:bottom w:val="single" w:color="DDDDDD" w:sz="6"/>
              <w:right w:val="single" w:color="DDDDDD" w:sz="6"/>
            </w:tcBorders>
            <w:shd w:fill="F8F5E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$0.0090</w:t>
            </w:r>
          </w:p>
        </w:tc>
        <w:tc>
          <w:tcPr>
            <w:tcW w:type="dxa" w:w="1404"/>
            <w:tcBorders>
              <w:top w:val="single" w:color="DDDDDD" w:sz="6"/>
              <w:left w:val="single" w:color="DDDDDD" w:sz="6"/>
              <w:bottom w:val="single" w:color="DDDDDD" w:sz="6"/>
              <w:right w:val="single" w:color="DDDDDD" w:sz="6"/>
            </w:tcBorders>
            <w:shd w:fill="F8F5E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90x</w:t>
            </w:r>
          </w:p>
        </w:tc>
      </w:tr>
      <w:tr>
        <w:trPr>
          <w:tblHeader w:val="false"/>
        </w:trPr>
        <w:tc>
          <w:tcPr>
            <w:tcW w:type="dxa" w:w="1872"/>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Año 3</w:t>
            </w:r>
          </w:p>
        </w:tc>
        <w:tc>
          <w:tcPr>
            <w:tcW w:type="dxa" w:w="2340"/>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$33.7M</w:t>
            </w:r>
          </w:p>
        </w:tc>
        <w:tc>
          <w:tcPr>
            <w:tcW w:type="dxa" w:w="1872"/>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3.3B $LUKA</w:t>
            </w:r>
          </w:p>
        </w:tc>
        <w:tc>
          <w:tcPr>
            <w:tcW w:type="dxa" w:w="1872"/>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$0.0102</w:t>
            </w:r>
          </w:p>
        </w:tc>
        <w:tc>
          <w:tcPr>
            <w:tcW w:type="dxa" w:w="1404"/>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102x</w:t>
            </w:r>
          </w:p>
        </w:tc>
      </w:tr>
      <w:tr>
        <w:trPr>
          <w:tblHeader w:val="false"/>
        </w:trPr>
        <w:tc>
          <w:tcPr>
            <w:tcW w:type="dxa" w:w="1872"/>
            <w:tcBorders>
              <w:top w:val="single" w:color="DDDDDD" w:sz="6"/>
              <w:left w:val="single" w:color="DDDDDD" w:sz="6"/>
              <w:bottom w:val="single" w:color="DDDDDD" w:sz="6"/>
              <w:right w:val="single" w:color="DDDDDD" w:sz="6"/>
            </w:tcBorders>
            <w:shd w:fill="F8F5E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Año 5</w:t>
            </w:r>
          </w:p>
        </w:tc>
        <w:tc>
          <w:tcPr>
            <w:tcW w:type="dxa" w:w="2340"/>
            <w:tcBorders>
              <w:top w:val="single" w:color="DDDDDD" w:sz="6"/>
              <w:left w:val="single" w:color="DDDDDD" w:sz="6"/>
              <w:bottom w:val="single" w:color="DDDDDD" w:sz="6"/>
              <w:right w:val="single" w:color="DDDDDD" w:sz="6"/>
            </w:tcBorders>
            <w:shd w:fill="F8F5E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$37.2M</w:t>
            </w:r>
          </w:p>
        </w:tc>
        <w:tc>
          <w:tcPr>
            <w:tcW w:type="dxa" w:w="1872"/>
            <w:tcBorders>
              <w:top w:val="single" w:color="DDDDDD" w:sz="6"/>
              <w:left w:val="single" w:color="DDDDDD" w:sz="6"/>
              <w:bottom w:val="single" w:color="DDDDDD" w:sz="6"/>
              <w:right w:val="single" w:color="DDDDDD" w:sz="6"/>
            </w:tcBorders>
            <w:shd w:fill="F8F5E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3.3B $LUKA</w:t>
            </w:r>
          </w:p>
        </w:tc>
        <w:tc>
          <w:tcPr>
            <w:tcW w:type="dxa" w:w="1872"/>
            <w:tcBorders>
              <w:top w:val="single" w:color="DDDDDD" w:sz="6"/>
              <w:left w:val="single" w:color="DDDDDD" w:sz="6"/>
              <w:bottom w:val="single" w:color="DDDDDD" w:sz="6"/>
              <w:right w:val="single" w:color="DDDDDD" w:sz="6"/>
            </w:tcBorders>
            <w:shd w:fill="F8F5E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$0.0113</w:t>
            </w:r>
          </w:p>
        </w:tc>
        <w:tc>
          <w:tcPr>
            <w:tcW w:type="dxa" w:w="1404"/>
            <w:tcBorders>
              <w:top w:val="single" w:color="DDDDDD" w:sz="6"/>
              <w:left w:val="single" w:color="DDDDDD" w:sz="6"/>
              <w:bottom w:val="single" w:color="DDDDDD" w:sz="6"/>
              <w:right w:val="single" w:color="DDDDDD" w:sz="6"/>
            </w:tcBorders>
            <w:shd w:fill="F8F5E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113x</w:t>
            </w:r>
          </w:p>
        </w:tc>
      </w:tr>
    </w:tbl>
    <w:p>
      <w:pPr>
        <w:spacing w:before="80" w:after="0"/>
      </w:pPr>
      <w:r>
        <w:t xml:space="preserve"/>
      </w:r>
    </w:p>
    <w:p>
      <w:pPr>
        <w:spacing w:before="60" w:after="80"/>
      </w:pPr>
      <w:r>
        <w:rPr>
          <w:rFonts w:ascii="Arial" w:cs="Arial" w:eastAsia="Arial" w:hAnsi="Arial"/>
          <w:i/>
          <w:iCs/>
          <w:color w:val="666666"/>
          <w:sz w:val="17"/>
          <w:szCs w:val="17"/>
        </w:rPr>
        <w:t xml:space="preserve">Fuente: Simulación Monte Carlo — 5,000 iteraciones, 1,825 días simulados. Escenario neutral. P25–P75 del Vault a 5 años: $18.9M–$67.1M.</w:t>
      </w:r>
    </w:p>
    <w:p>
      <w:pPr>
        <w:spacing w:before="100" w:after="0"/>
      </w:pPr>
      <w:r>
        <w:t xml:space="preserve"/>
      </w:r>
    </w:p>
    <w:p>
      <w:pPr>
        <w:spacing w:before="200" w:after="60"/>
      </w:pPr>
      <w:r>
        <w:rPr>
          <w:rFonts w:ascii="Arial" w:cs="Arial" w:eastAsia="Arial" w:hAnsi="Arial"/>
          <w:b/>
          <w:bCs/>
          <w:color w:val="3D405B"/>
          <w:sz w:val="22"/>
          <w:szCs w:val="22"/>
        </w:rPr>
        <w:t xml:space="preserve">1.2 Diferenciadores de la Propuesta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3D405B" w:sz="6"/>
              <w:left w:val="single" w:color="3D405B" w:sz="6"/>
              <w:bottom w:val="single" w:color="3D405B" w:sz="6"/>
              <w:right w:val="single" w:color="3D405B" w:sz="6"/>
            </w:tcBorders>
            <w:shd w:fill="3D405B" w:val="clear"/>
            <w:tcMar>
              <w:top w:type="dxa" w:w="100"/>
              <w:left w:type="dxa" w:w="140"/>
              <w:bottom w:type="dxa" w:w="100"/>
              <w:right w:type="dxa" w:w="140"/>
            </w:tcMar>
            <w:vAlign w:val="center"/>
          </w:tcPr>
          <w:p>
            <w:r>
              <w:rPr>
                <w:rFonts w:ascii="Arial" w:cs="Arial" w:eastAsia="Arial" w:hAnsi="Arial"/>
                <w:b/>
                <w:bCs/>
                <w:color w:val="FFFFFF"/>
                <w:sz w:val="18"/>
                <w:szCs w:val="18"/>
              </w:rPr>
              <w:t xml:space="preserve">Dimensión</w:t>
            </w:r>
          </w:p>
        </w:tc>
        <w:tc>
          <w:tcPr>
            <w:tcW w:type="dxa" w:w="6240"/>
            <w:tcBorders>
              <w:top w:val="single" w:color="3D405B" w:sz="6"/>
              <w:left w:val="single" w:color="3D405B" w:sz="6"/>
              <w:bottom w:val="single" w:color="3D405B" w:sz="6"/>
              <w:right w:val="single" w:color="3D405B" w:sz="6"/>
            </w:tcBorders>
            <w:shd w:fill="3D405B" w:val="clear"/>
            <w:tcMar>
              <w:top w:type="dxa" w:w="100"/>
              <w:left w:type="dxa" w:w="140"/>
              <w:bottom w:type="dxa" w:w="100"/>
              <w:right w:type="dxa" w:w="140"/>
            </w:tcMar>
            <w:vAlign w:val="center"/>
          </w:tcPr>
          <w:p>
            <w:r>
              <w:rPr>
                <w:rFonts w:ascii="Arial" w:cs="Arial" w:eastAsia="Arial" w:hAnsi="Arial"/>
                <w:b/>
                <w:bCs/>
                <w:color w:val="FFFFFF"/>
                <w:sz w:val="18"/>
                <w:szCs w:val="18"/>
              </w:rPr>
              <w:t xml:space="preserve">Propuesta LUKASH</w:t>
            </w:r>
          </w:p>
        </w:tc>
      </w:tr>
      <w:tr>
        <w:trPr>
          <w:tblHeader w:val="false"/>
        </w:trPr>
        <w:tc>
          <w:tcPr>
            <w:tcW w:type="dxa" w:w="3120"/>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Respaldo de Valor</w:t>
            </w:r>
          </w:p>
        </w:tc>
        <w:tc>
          <w:tcPr>
            <w:tcW w:type="dxa" w:w="6240"/>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Reserva Soberana en cBTC, SOL/LST, USDC — 100% nativa en Solana, sin riesgo de bridge</w:t>
            </w:r>
          </w:p>
        </w:tc>
      </w:tr>
      <w:tr>
        <w:trPr>
          <w:tblHeader w:val="false"/>
        </w:trPr>
        <w:tc>
          <w:tcPr>
            <w:tcW w:type="dxa" w:w="3120"/>
            <w:tcBorders>
              <w:top w:val="single" w:color="DDDDDD" w:sz="6"/>
              <w:left w:val="single" w:color="DDDDDD" w:sz="6"/>
              <w:bottom w:val="single" w:color="DDDDDD" w:sz="6"/>
              <w:right w:val="single" w:color="DDDDDD" w:sz="6"/>
            </w:tcBorders>
            <w:shd w:fill="F8F5E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Interfaz de Acceso</w:t>
            </w:r>
          </w:p>
        </w:tc>
        <w:tc>
          <w:tcPr>
            <w:tcW w:type="dxa" w:w="6240"/>
            <w:tcBorders>
              <w:top w:val="single" w:color="DDDDDD" w:sz="6"/>
              <w:left w:val="single" w:color="DDDDDD" w:sz="6"/>
              <w:bottom w:val="single" w:color="DDDDDD" w:sz="6"/>
              <w:right w:val="single" w:color="DDDDDD" w:sz="6"/>
            </w:tcBorders>
            <w:shd w:fill="F8F5E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LUKAI v3.1: Orquestador de IA conversacional con calibración de Jaguar Score en tiempo real</w:t>
            </w:r>
          </w:p>
        </w:tc>
      </w:tr>
      <w:tr>
        <w:trPr>
          <w:tblHeader w:val="false"/>
        </w:trPr>
        <w:tc>
          <w:tcPr>
            <w:tcW w:type="dxa" w:w="3120"/>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Modelo de Ahorro</w:t>
            </w:r>
          </w:p>
        </w:tc>
        <w:tc>
          <w:tcPr>
            <w:tcW w:type="dxa" w:w="6240"/>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Manadas: grupos de ahorro/inversión comunitaria con incentivos de reputación on-chain</w:t>
            </w:r>
          </w:p>
        </w:tc>
      </w:tr>
      <w:tr>
        <w:trPr>
          <w:tblHeader w:val="false"/>
        </w:trPr>
        <w:tc>
          <w:tcPr>
            <w:tcW w:type="dxa" w:w="3120"/>
            <w:tcBorders>
              <w:top w:val="single" w:color="DDDDDD" w:sz="6"/>
              <w:left w:val="single" w:color="DDDDDD" w:sz="6"/>
              <w:bottom w:val="single" w:color="DDDDDD" w:sz="6"/>
              <w:right w:val="single" w:color="DDDDDD" w:sz="6"/>
            </w:tcBorders>
            <w:shd w:fill="F8F5E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Deflación Algorítmica</w:t>
            </w:r>
          </w:p>
        </w:tc>
        <w:tc>
          <w:tcPr>
            <w:tcW w:type="dxa" w:w="6240"/>
            <w:tcBorders>
              <w:top w:val="single" w:color="DDDDDD" w:sz="6"/>
              <w:left w:val="single" w:color="DDDDDD" w:sz="6"/>
              <w:bottom w:val="single" w:color="DDDDDD" w:sz="6"/>
              <w:right w:val="single" w:color="DDDDDD" w:sz="6"/>
            </w:tcBorders>
            <w:shd w:fill="F8F5E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Quema activa hasta supply objetivo 3.3B $LUKA; Motor B2 activa recirculación post-hito K_min $25M</w:t>
            </w:r>
          </w:p>
        </w:tc>
      </w:tr>
      <w:tr>
        <w:trPr>
          <w:tblHeader w:val="false"/>
        </w:trPr>
        <w:tc>
          <w:tcPr>
            <w:tcW w:type="dxa" w:w="3120"/>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Educación Financiera</w:t>
            </w:r>
          </w:p>
        </w:tc>
        <w:tc>
          <w:tcPr>
            <w:tcW w:type="dxa" w:w="6240"/>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Funnel de Soberanía: Entrenamiento → Transaccional → Soberanía; gamificación con Jaguar Score</w:t>
            </w:r>
          </w:p>
        </w:tc>
      </w:tr>
      <w:tr>
        <w:trPr>
          <w:tblHeader w:val="false"/>
        </w:trPr>
        <w:tc>
          <w:tcPr>
            <w:tcW w:type="dxa" w:w="3120"/>
            <w:tcBorders>
              <w:top w:val="single" w:color="DDDDDD" w:sz="6"/>
              <w:left w:val="single" w:color="DDDDDD" w:sz="6"/>
              <w:bottom w:val="single" w:color="DDDDDD" w:sz="6"/>
              <w:right w:val="single" w:color="DDDDDD" w:sz="6"/>
            </w:tcBorders>
            <w:shd w:fill="F8F5E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Transparencia</w:t>
            </w:r>
          </w:p>
        </w:tc>
        <w:tc>
          <w:tcPr>
            <w:tcW w:type="dxa" w:w="6240"/>
            <w:tcBorders>
              <w:top w:val="single" w:color="DDDDDD" w:sz="6"/>
              <w:left w:val="single" w:color="DDDDDD" w:sz="6"/>
              <w:bottom w:val="single" w:color="DDDDDD" w:sz="6"/>
              <w:right w:val="single" w:color="DDDDDD" w:sz="6"/>
            </w:tcBorders>
            <w:shd w:fill="F8F5E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Vault auditado on-chain. Vesting del equipo fundador publicado before del TGE. Sin opacidad.</w:t>
            </w:r>
          </w:p>
        </w:tc>
      </w:tr>
    </w:tbl>
    <w:p>
      <w:pPr>
        <w:spacing w:before="80" w:after="0"/>
      </w:pPr>
      <w:r>
        <w:t xml:space="preserve"/>
      </w:r>
    </w:p>
    <w:p>
      <w:pPr>
        <w:pStyle w:val="Heading2"/>
        <w:pBdr>
          <w:bottom w:val="single" w:color="C9A84C" w:sz="4" w:space="2"/>
        </w:pBdr>
        <w:spacing w:before="280" w:after="100"/>
      </w:pPr>
      <w:r>
        <w:rPr>
          <w:rFonts w:ascii="Arial" w:cs="Arial" w:eastAsia="Arial" w:hAnsi="Arial"/>
          <w:b/>
          <w:bCs/>
          <w:color w:val="2D6A4F"/>
          <w:sz w:val="26"/>
          <w:szCs w:val="26"/>
        </w:rPr>
        <w:t xml:space="preserve">2. SEGMENTOS DE CLIENTES</w:t>
      </w:r>
    </w:p>
    <w:p>
      <w:pPr>
        <w:spacing w:before="0" w:after="80"/>
      </w:pPr>
      <w:r>
        <w:rPr>
          <w:rFonts w:ascii="Arial" w:cs="Arial" w:eastAsia="Arial" w:hAnsi="Arial"/>
          <w:b/>
          <w:bCs/>
          <w:caps/>
          <w:color w:val="C9A84C"/>
          <w:sz w:val="18"/>
          <w:szCs w:val="18"/>
        </w:rPr>
        <w:t xml:space="preserve">Jaguares y Manadas — El Ecosistema de Identidad Financiera</w:t>
      </w:r>
    </w:p>
    <w:p>
      <w:pPr>
        <w:spacing w:before="60" w:after="0"/>
      </w:pPr>
      <w:r>
        <w:t xml:space="preserve"/>
      </w:r>
    </w:p>
    <w:p>
      <w:pPr>
        <w:spacing w:before="60" w:after="80"/>
      </w:pPr>
      <w:r>
        <w:rPr>
          <w:rFonts w:ascii="Arial" w:cs="Arial" w:eastAsia="Arial" w:hAnsi="Arial"/>
          <w:color w:val="1A1A2E"/>
          <w:sz w:val="20"/>
          <w:szCs w:val="20"/>
        </w:rPr>
        <w:t xml:space="preserve">El protocolo LUKASH opera con dos segmentos de cliente primarios definidos por su perfil psicográfico, etapa de vida financiera y motivación de adopción. Ambos segmentos convergen en la plataforma y se retroalimentan mutuamente mediante la mecánica de Manadas.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rPr>
          <w:tblHeader/>
        </w:trPr>
        <w:tc>
          <w:tcPr>
            <w:tcW w:type="dxa" w:w="1560"/>
            <w:tcBorders>
              <w:top w:val="single" w:color="3D405B" w:sz="6"/>
              <w:left w:val="single" w:color="3D405B" w:sz="6"/>
              <w:bottom w:val="single" w:color="3D405B" w:sz="6"/>
              <w:right w:val="single" w:color="3D405B" w:sz="6"/>
            </w:tcBorders>
            <w:shd w:fill="3D405B" w:val="clear"/>
            <w:tcMar>
              <w:top w:type="dxa" w:w="100"/>
              <w:left w:type="dxa" w:w="140"/>
              <w:bottom w:type="dxa" w:w="100"/>
              <w:right w:type="dxa" w:w="140"/>
            </w:tcMar>
            <w:vAlign w:val="center"/>
          </w:tcPr>
          <w:p>
            <w:r>
              <w:rPr>
                <w:rFonts w:ascii="Arial" w:cs="Arial" w:eastAsia="Arial" w:hAnsi="Arial"/>
                <w:b/>
                <w:bCs/>
                <w:color w:val="FFFFFF"/>
                <w:sz w:val="18"/>
                <w:szCs w:val="18"/>
              </w:rPr>
              <w:t xml:space="preserve">Parámetro</w:t>
            </w:r>
          </w:p>
        </w:tc>
        <w:tc>
          <w:tcPr>
            <w:tcW w:type="dxa" w:w="3900"/>
            <w:tcBorders>
              <w:top w:val="single" w:color="3D405B" w:sz="6"/>
              <w:left w:val="single" w:color="3D405B" w:sz="6"/>
              <w:bottom w:val="single" w:color="3D405B" w:sz="6"/>
              <w:right w:val="single" w:color="3D405B" w:sz="6"/>
            </w:tcBorders>
            <w:shd w:fill="3D405B" w:val="clear"/>
            <w:tcMar>
              <w:top w:type="dxa" w:w="100"/>
              <w:left w:type="dxa" w:w="140"/>
              <w:bottom w:type="dxa" w:w="100"/>
              <w:right w:type="dxa" w:w="140"/>
            </w:tcMar>
            <w:vAlign w:val="center"/>
          </w:tcPr>
          <w:p>
            <w:r>
              <w:rPr>
                <w:rFonts w:ascii="Arial" w:cs="Arial" w:eastAsia="Arial" w:hAnsi="Arial"/>
                <w:b/>
                <w:bCs/>
                <w:color w:val="FFFFFF"/>
                <w:sz w:val="18"/>
                <w:szCs w:val="18"/>
              </w:rPr>
              <w:t xml:space="preserve">Segmento A — Nativos de la Atención (12–25 años)</w:t>
            </w:r>
          </w:p>
        </w:tc>
        <w:tc>
          <w:tcPr>
            <w:tcW w:type="dxa" w:w="3900"/>
            <w:tcBorders>
              <w:top w:val="single" w:color="3D405B" w:sz="6"/>
              <w:left w:val="single" w:color="3D405B" w:sz="6"/>
              <w:bottom w:val="single" w:color="3D405B" w:sz="6"/>
              <w:right w:val="single" w:color="3D405B" w:sz="6"/>
            </w:tcBorders>
            <w:shd w:fill="3D405B" w:val="clear"/>
            <w:tcMar>
              <w:top w:type="dxa" w:w="100"/>
              <w:left w:type="dxa" w:w="140"/>
              <w:bottom w:type="dxa" w:w="100"/>
              <w:right w:type="dxa" w:w="140"/>
            </w:tcMar>
            <w:vAlign w:val="center"/>
          </w:tcPr>
          <w:p>
            <w:r>
              <w:rPr>
                <w:rFonts w:ascii="Arial" w:cs="Arial" w:eastAsia="Arial" w:hAnsi="Arial"/>
                <w:b/>
                <w:bCs/>
                <w:color w:val="FFFFFF"/>
                <w:sz w:val="18"/>
                <w:szCs w:val="18"/>
              </w:rPr>
              <w:t xml:space="preserve">Segmento B — Buscadores de Soberanía (25–45 años)</w:t>
            </w:r>
          </w:p>
        </w:tc>
      </w:tr>
      <w:tr>
        <w:trPr>
          <w:tblHeader w:val="false"/>
        </w:trPr>
        <w:tc>
          <w:tcPr>
            <w:tcW w:type="dxa" w:w="1560"/>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Motivación Principal</w:t>
            </w:r>
          </w:p>
        </w:tc>
        <w:tc>
          <w:tcPr>
            <w:tcW w:type="dxa" w:w="3900"/>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Estatus digital, pertenencia a manadas, entretenimiento y acceso temprano a creación de riqueza</w:t>
            </w:r>
          </w:p>
        </w:tc>
        <w:tc>
          <w:tcPr>
            <w:tcW w:type="dxa" w:w="3900"/>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Protección contra inflación latinoamericana, pagos transfronterizos y diversificación de activos reales</w:t>
            </w:r>
          </w:p>
        </w:tc>
      </w:tr>
      <w:tr>
        <w:trPr>
          <w:tblHeader w:val="false"/>
        </w:trPr>
        <w:tc>
          <w:tcPr>
            <w:tcW w:type="dxa" w:w="1560"/>
            <w:tcBorders>
              <w:top w:val="single" w:color="DDDDDD" w:sz="6"/>
              <w:left w:val="single" w:color="DDDDDD" w:sz="6"/>
              <w:bottom w:val="single" w:color="DDDDDD" w:sz="6"/>
              <w:right w:val="single" w:color="DDDDDD" w:sz="6"/>
            </w:tcBorders>
            <w:shd w:fill="F8F5E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Barrera de Entrada</w:t>
            </w:r>
          </w:p>
        </w:tc>
        <w:tc>
          <w:tcPr>
            <w:tcW w:type="dxa" w:w="3900"/>
            <w:tcBorders>
              <w:top w:val="single" w:color="DDDDDD" w:sz="6"/>
              <w:left w:val="single" w:color="DDDDDD" w:sz="6"/>
              <w:bottom w:val="single" w:color="DDDDDD" w:sz="6"/>
              <w:right w:val="single" w:color="DDDDDD" w:sz="6"/>
            </w:tcBorders>
            <w:shd w:fill="F8F5E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Falta de capital inicial y desconocimiento técnico de DeFi/blockchain</w:t>
            </w:r>
          </w:p>
        </w:tc>
        <w:tc>
          <w:tcPr>
            <w:tcW w:type="dxa" w:w="3900"/>
            <w:tcBorders>
              <w:top w:val="single" w:color="DDDDDD" w:sz="6"/>
              <w:left w:val="single" w:color="DDDDDD" w:sz="6"/>
              <w:bottom w:val="single" w:color="DDDDDD" w:sz="6"/>
              <w:right w:val="single" w:color="DDDDDD" w:sz="6"/>
            </w:tcBorders>
            <w:shd w:fill="F8F5E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Desconfianza histórica en cripto y falta de tiempo para navegar complejidad técnica</w:t>
            </w:r>
          </w:p>
        </w:tc>
      </w:tr>
      <w:tr>
        <w:trPr>
          <w:tblHeader w:val="false"/>
        </w:trPr>
        <w:tc>
          <w:tcPr>
            <w:tcW w:type="dxa" w:w="1560"/>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Solución LUKASH</w:t>
            </w:r>
          </w:p>
        </w:tc>
        <w:tc>
          <w:tcPr>
            <w:tcW w:type="dxa" w:w="3900"/>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Jungle Arena, airdrops por hitos, Jaguar Score como currículum financiero digital on-chain</w:t>
            </w:r>
          </w:p>
        </w:tc>
        <w:tc>
          <w:tcPr>
            <w:tcW w:type="dxa" w:w="3900"/>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Interfaz LUKAI conversacional simplificada; respaldo real del Estándar KASH auditado on-chain</w:t>
            </w:r>
          </w:p>
        </w:tc>
      </w:tr>
      <w:tr>
        <w:trPr>
          <w:tblHeader w:val="false"/>
        </w:trPr>
        <w:tc>
          <w:tcPr>
            <w:tcW w:type="dxa" w:w="1560"/>
            <w:tcBorders>
              <w:top w:val="single" w:color="DDDDDD" w:sz="6"/>
              <w:left w:val="single" w:color="DDDDDD" w:sz="6"/>
              <w:bottom w:val="single" w:color="DDDDDD" w:sz="6"/>
              <w:right w:val="single" w:color="DDDDDD" w:sz="6"/>
            </w:tcBorders>
            <w:shd w:fill="F8F5E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Palanca de Retención</w:t>
            </w:r>
          </w:p>
        </w:tc>
        <w:tc>
          <w:tcPr>
            <w:tcW w:type="dxa" w:w="3900"/>
            <w:tcBorders>
              <w:top w:val="single" w:color="DDDDDD" w:sz="6"/>
              <w:left w:val="single" w:color="DDDDDD" w:sz="6"/>
              <w:bottom w:val="single" w:color="DDDDDD" w:sz="6"/>
              <w:right w:val="single" w:color="DDDDDD" w:sz="6"/>
            </w:tcBorders>
            <w:shd w:fill="F8F5E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Gamificación profunda, narrativa de manada con lealtad emocional y estatus en Jungle Arena</w:t>
            </w:r>
          </w:p>
        </w:tc>
        <w:tc>
          <w:tcPr>
            <w:tcW w:type="dxa" w:w="3900"/>
            <w:tcBorders>
              <w:top w:val="single" w:color="DDDDDD" w:sz="6"/>
              <w:left w:val="single" w:color="DDDDDD" w:sz="6"/>
              <w:bottom w:val="single" w:color="DDDDDD" w:sz="6"/>
              <w:right w:val="single" w:color="DDDDDD" w:sz="6"/>
            </w:tcBorders>
            <w:shd w:fill="F8F5E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Seguridad institucional del Jaguar Shield LP y transparencia total del Vault Core auditado</w:t>
            </w:r>
          </w:p>
        </w:tc>
      </w:tr>
      <w:tr>
        <w:trPr>
          <w:tblHeader w:val="false"/>
        </w:trPr>
        <w:tc>
          <w:tcPr>
            <w:tcW w:type="dxa" w:w="1560"/>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Canal Primario</w:t>
            </w:r>
          </w:p>
        </w:tc>
        <w:tc>
          <w:tcPr>
            <w:tcW w:type="dxa" w:w="3900"/>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Viralidad en redes sociales, KOLs con estructura Jaguar Lock, Jungle Arena peer-to-peer</w:t>
            </w:r>
          </w:p>
        </w:tc>
        <w:tc>
          <w:tcPr>
            <w:tcW w:type="dxa" w:w="3900"/>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LUKAI conversacional, App interactiva con dashboard de Vault y reportes on-chain verificables</w:t>
            </w:r>
          </w:p>
        </w:tc>
      </w:tr>
    </w:tbl>
    <w:p>
      <w:pPr>
        <w:spacing w:before="80" w:after="0"/>
      </w:pPr>
      <w:r>
        <w:t xml:space="preserve"/>
      </w:r>
    </w:p>
    <w:p>
      <w:pPr>
        <w:spacing w:before="200" w:after="60"/>
      </w:pPr>
      <w:r>
        <w:rPr>
          <w:rFonts w:ascii="Arial" w:cs="Arial" w:eastAsia="Arial" w:hAnsi="Arial"/>
          <w:b/>
          <w:bCs/>
          <w:color w:val="3D405B"/>
          <w:sz w:val="22"/>
          <w:szCs w:val="22"/>
        </w:rPr>
        <w:t xml:space="preserve">2.1 El Jaguar Score — Currículum Financiero Digital</w:t>
      </w:r>
    </w:p>
    <w:p>
      <w:pPr>
        <w:spacing w:before="60" w:after="80"/>
      </w:pPr>
      <w:r>
        <w:rPr>
          <w:rFonts w:ascii="Arial" w:cs="Arial" w:eastAsia="Arial" w:hAnsi="Arial"/>
          <w:color w:val="1A1A2E"/>
          <w:sz w:val="20"/>
          <w:szCs w:val="20"/>
        </w:rPr>
        <w:t xml:space="preserve">El Jaguar Score es el sistema de reputación financiera del protocolo. LUKAI v3.1 lo actualiza en tiempo real según la participación activa del usuario en los Motores B y D: Manadas, apuestas, acceso a eventos, crowdfunding y crowdlending.</w:t>
      </w:r>
    </w:p>
    <w:p>
      <w:pPr>
        <w:spacing w:before="40" w:after="0"/>
      </w:pPr>
      <w:r>
        <w:t xml:space="preserve"/>
      </w:r>
    </w:p>
    <w:p>
      <w:pPr>
        <w:pStyle w:val="ListParagraph"/>
        <w:numPr>
          <w:ilvl w:val="0"/>
          <w:numId w:val="2"/>
        </w:numPr>
        <w:spacing w:before="40" w:after="40"/>
        <w:ind w:left="360" w:hanging="260"/>
      </w:pPr>
      <w:r>
        <w:rPr>
          <w:rFonts w:ascii="Arial" w:cs="Arial" w:eastAsia="Arial" w:hAnsi="Arial"/>
          <w:color w:val="1A1A2E"/>
          <w:sz w:val="20"/>
          <w:szCs w:val="20"/>
        </w:rPr>
        <w:t xml:space="preserve">Actúa como historial crediticio descentralizado, verificable on-chain por cualquier aliado del protocolo.</w:t>
      </w:r>
    </w:p>
    <w:p>
      <w:pPr>
        <w:pStyle w:val="ListParagraph"/>
        <w:numPr>
          <w:ilvl w:val="0"/>
          <w:numId w:val="2"/>
        </w:numPr>
        <w:spacing w:before="40" w:after="40"/>
        <w:ind w:left="360" w:hanging="260"/>
      </w:pPr>
      <w:r>
        <w:rPr>
          <w:rFonts w:ascii="Arial" w:cs="Arial" w:eastAsia="Arial" w:hAnsi="Arial"/>
          <w:color w:val="1A1A2E"/>
          <w:sz w:val="20"/>
          <w:szCs w:val="20"/>
        </w:rPr>
        <w:t xml:space="preserve">Genera un 'Costo de Salida Psicológico' que incrementa orgánicamente la retención: el usuario no abandona su reputación construida.</w:t>
      </w:r>
    </w:p>
    <w:p>
      <w:pPr>
        <w:pStyle w:val="ListParagraph"/>
        <w:numPr>
          <w:ilvl w:val="0"/>
          <w:numId w:val="2"/>
        </w:numPr>
        <w:spacing w:before="40" w:after="40"/>
        <w:ind w:left="360" w:hanging="260"/>
      </w:pPr>
      <w:r>
        <w:rPr>
          <w:rFonts w:ascii="Arial" w:cs="Arial" w:eastAsia="Arial" w:hAnsi="Arial"/>
          <w:color w:val="1A1A2E"/>
          <w:sz w:val="20"/>
          <w:szCs w:val="20"/>
        </w:rPr>
        <w:t xml:space="preserve">Los cNFT DeFi (Staking/Pools) están exentos de la calibración del Jaguar Score — beneficio exclusivo de participación social activa.</w:t>
      </w:r>
    </w:p>
    <w:p>
      <w:pPr>
        <w:spacing w:before="60" w:after="0"/>
      </w:pPr>
      <w:r>
        <w:t xml:space="preserve"/>
      </w:r>
    </w:p>
    <w:p>
      <w:pPr>
        <w:spacing w:before="200" w:after="60"/>
      </w:pPr>
      <w:r>
        <w:rPr>
          <w:rFonts w:ascii="Arial" w:cs="Arial" w:eastAsia="Arial" w:hAnsi="Arial"/>
          <w:b/>
          <w:bCs/>
          <w:color w:val="3D405B"/>
          <w:sz w:val="22"/>
          <w:szCs w:val="22"/>
        </w:rPr>
        <w:t xml:space="preserve">2.2 Funnel de Soberanía — Trayectoria del Usuario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1560"/>
        <w:gridCol w:w="2184"/>
        <w:gridCol w:w="2184"/>
        <w:gridCol w:w="2652"/>
      </w:tblGrid>
      <w:tr>
        <w:trPr>
          <w:tblHeader/>
        </w:trPr>
        <w:tc>
          <w:tcPr>
            <w:tcW w:type="dxa" w:w="780"/>
            <w:tcBorders>
              <w:top w:val="single" w:color="2D6A4F" w:sz="6"/>
              <w:left w:val="single" w:color="2D6A4F" w:sz="6"/>
              <w:bottom w:val="single" w:color="2D6A4F" w:sz="6"/>
              <w:right w:val="single" w:color="2D6A4F" w:sz="6"/>
            </w:tcBorders>
            <w:shd w:fill="2D6A4F" w:val="clear"/>
            <w:tcMar>
              <w:top w:type="dxa" w:w="100"/>
              <w:left w:type="dxa" w:w="140"/>
              <w:bottom w:type="dxa" w:w="100"/>
              <w:right w:type="dxa" w:w="140"/>
            </w:tcMar>
            <w:vAlign w:val="center"/>
          </w:tcPr>
          <w:p>
            <w:r>
              <w:rPr>
                <w:rFonts w:ascii="Arial" w:cs="Arial" w:eastAsia="Arial" w:hAnsi="Arial"/>
                <w:b/>
                <w:bCs/>
                <w:color w:val="FFFFFF"/>
                <w:sz w:val="18"/>
                <w:szCs w:val="18"/>
              </w:rPr>
              <w:t xml:space="preserve">Etapa</w:t>
            </w:r>
          </w:p>
        </w:tc>
        <w:tc>
          <w:tcPr>
            <w:tcW w:type="dxa" w:w="1560"/>
            <w:tcBorders>
              <w:top w:val="single" w:color="2D6A4F" w:sz="6"/>
              <w:left w:val="single" w:color="2D6A4F" w:sz="6"/>
              <w:bottom w:val="single" w:color="2D6A4F" w:sz="6"/>
              <w:right w:val="single" w:color="2D6A4F" w:sz="6"/>
            </w:tcBorders>
            <w:shd w:fill="2D6A4F" w:val="clear"/>
            <w:tcMar>
              <w:top w:type="dxa" w:w="100"/>
              <w:left w:type="dxa" w:w="140"/>
              <w:bottom w:type="dxa" w:w="100"/>
              <w:right w:type="dxa" w:w="140"/>
            </w:tcMar>
            <w:vAlign w:val="center"/>
          </w:tcPr>
          <w:p>
            <w:r>
              <w:rPr>
                <w:rFonts w:ascii="Arial" w:cs="Arial" w:eastAsia="Arial" w:hAnsi="Arial"/>
                <w:b/>
                <w:bCs/>
                <w:color w:val="FFFFFF"/>
                <w:sz w:val="18"/>
                <w:szCs w:val="18"/>
              </w:rPr>
              <w:t xml:space="preserve">Nombre</w:t>
            </w:r>
          </w:p>
        </w:tc>
        <w:tc>
          <w:tcPr>
            <w:tcW w:type="dxa" w:w="2184"/>
            <w:tcBorders>
              <w:top w:val="single" w:color="2D6A4F" w:sz="6"/>
              <w:left w:val="single" w:color="2D6A4F" w:sz="6"/>
              <w:bottom w:val="single" w:color="2D6A4F" w:sz="6"/>
              <w:right w:val="single" w:color="2D6A4F" w:sz="6"/>
            </w:tcBorders>
            <w:shd w:fill="2D6A4F" w:val="clear"/>
            <w:tcMar>
              <w:top w:type="dxa" w:w="100"/>
              <w:left w:type="dxa" w:w="140"/>
              <w:bottom w:type="dxa" w:w="100"/>
              <w:right w:type="dxa" w:w="140"/>
            </w:tcMar>
            <w:vAlign w:val="center"/>
          </w:tcPr>
          <w:p>
            <w:r>
              <w:rPr>
                <w:rFonts w:ascii="Arial" w:cs="Arial" w:eastAsia="Arial" w:hAnsi="Arial"/>
                <w:b/>
                <w:bCs/>
                <w:color w:val="FFFFFF"/>
                <w:sz w:val="18"/>
                <w:szCs w:val="18"/>
              </w:rPr>
              <w:t xml:space="preserve">Acción Central</w:t>
            </w:r>
          </w:p>
        </w:tc>
        <w:tc>
          <w:tcPr>
            <w:tcW w:type="dxa" w:w="2184"/>
            <w:tcBorders>
              <w:top w:val="single" w:color="2D6A4F" w:sz="6"/>
              <w:left w:val="single" w:color="2D6A4F" w:sz="6"/>
              <w:bottom w:val="single" w:color="2D6A4F" w:sz="6"/>
              <w:right w:val="single" w:color="2D6A4F" w:sz="6"/>
            </w:tcBorders>
            <w:shd w:fill="2D6A4F" w:val="clear"/>
            <w:tcMar>
              <w:top w:type="dxa" w:w="100"/>
              <w:left w:type="dxa" w:w="140"/>
              <w:bottom w:type="dxa" w:w="100"/>
              <w:right w:type="dxa" w:w="140"/>
            </w:tcMar>
            <w:vAlign w:val="center"/>
          </w:tcPr>
          <w:p>
            <w:r>
              <w:rPr>
                <w:rFonts w:ascii="Arial" w:cs="Arial" w:eastAsia="Arial" w:hAnsi="Arial"/>
                <w:b/>
                <w:bCs/>
                <w:color w:val="FFFFFF"/>
                <w:sz w:val="18"/>
                <w:szCs w:val="18"/>
              </w:rPr>
              <w:t xml:space="preserve">Motor Económico Activo</w:t>
            </w:r>
          </w:p>
        </w:tc>
        <w:tc>
          <w:tcPr>
            <w:tcW w:type="dxa" w:w="2652"/>
            <w:tcBorders>
              <w:top w:val="single" w:color="2D6A4F" w:sz="6"/>
              <w:left w:val="single" w:color="2D6A4F" w:sz="6"/>
              <w:bottom w:val="single" w:color="2D6A4F" w:sz="6"/>
              <w:right w:val="single" w:color="2D6A4F" w:sz="6"/>
            </w:tcBorders>
            <w:shd w:fill="2D6A4F" w:val="clear"/>
            <w:tcMar>
              <w:top w:type="dxa" w:w="100"/>
              <w:left w:type="dxa" w:w="140"/>
              <w:bottom w:type="dxa" w:w="100"/>
              <w:right w:type="dxa" w:w="140"/>
            </w:tcMar>
            <w:vAlign w:val="center"/>
          </w:tcPr>
          <w:p>
            <w:r>
              <w:rPr>
                <w:rFonts w:ascii="Arial" w:cs="Arial" w:eastAsia="Arial" w:hAnsi="Arial"/>
                <w:b/>
                <w:bCs/>
                <w:color w:val="FFFFFF"/>
                <w:sz w:val="18"/>
                <w:szCs w:val="18"/>
              </w:rPr>
              <w:t xml:space="preserve">Resultado para el Usuario</w:t>
            </w:r>
          </w:p>
        </w:tc>
      </w:tr>
      <w:tr>
        <w:trPr>
          <w:tblHeader w:val="false"/>
        </w:trPr>
        <w:tc>
          <w:tcPr>
            <w:tcW w:type="dxa" w:w="780"/>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Fase 1</w:t>
            </w:r>
          </w:p>
        </w:tc>
        <w:tc>
          <w:tcPr>
            <w:tcW w:type="dxa" w:w="1560"/>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Entrenamiento</w:t>
            </w:r>
          </w:p>
        </w:tc>
        <w:tc>
          <w:tcPr>
            <w:tcW w:type="dxa" w:w="2184"/>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Simulador, onboarding educativo por LUKAI, Jungle Arena</w:t>
            </w:r>
          </w:p>
        </w:tc>
        <w:tc>
          <w:tcPr>
            <w:tcW w:type="dxa" w:w="2184"/>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Motor A (Trading DEX)</w:t>
            </w:r>
          </w:p>
        </w:tc>
        <w:tc>
          <w:tcPr>
            <w:tcW w:type="dxa" w:w="2652"/>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Construcción del Jaguar Score. Airdrops por hitos. Identidad digital.</w:t>
            </w:r>
          </w:p>
        </w:tc>
      </w:tr>
      <w:tr>
        <w:trPr>
          <w:tblHeader w:val="false"/>
        </w:trPr>
        <w:tc>
          <w:tcPr>
            <w:tcW w:type="dxa" w:w="780"/>
            <w:tcBorders>
              <w:top w:val="single" w:color="DDDDDD" w:sz="6"/>
              <w:left w:val="single" w:color="DDDDDD" w:sz="6"/>
              <w:bottom w:val="single" w:color="DDDDDD" w:sz="6"/>
              <w:right w:val="single" w:color="DDDDDD" w:sz="6"/>
            </w:tcBorders>
            <w:shd w:fill="F8F5E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Fase 2</w:t>
            </w:r>
          </w:p>
        </w:tc>
        <w:tc>
          <w:tcPr>
            <w:tcW w:type="dxa" w:w="1560"/>
            <w:tcBorders>
              <w:top w:val="single" w:color="DDDDDD" w:sz="6"/>
              <w:left w:val="single" w:color="DDDDDD" w:sz="6"/>
              <w:bottom w:val="single" w:color="DDDDDD" w:sz="6"/>
              <w:right w:val="single" w:color="DDDDDD" w:sz="6"/>
            </w:tcBorders>
            <w:shd w:fill="F8F5E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Transaccional</w:t>
            </w:r>
          </w:p>
        </w:tc>
        <w:tc>
          <w:tcPr>
            <w:tcW w:type="dxa" w:w="2184"/>
            <w:tcBorders>
              <w:top w:val="single" w:color="DDDDDD" w:sz="6"/>
              <w:left w:val="single" w:color="DDDDDD" w:sz="6"/>
              <w:bottom w:val="single" w:color="DDDDDD" w:sz="6"/>
              <w:right w:val="single" w:color="DDDDDD" w:sz="6"/>
            </w:tcBorders>
            <w:shd w:fill="F8F5E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Pagos diarios con $LUKA, Manadas activas, servicios App</w:t>
            </w:r>
          </w:p>
        </w:tc>
        <w:tc>
          <w:tcPr>
            <w:tcW w:type="dxa" w:w="2184"/>
            <w:tcBorders>
              <w:top w:val="single" w:color="DDDDDD" w:sz="6"/>
              <w:left w:val="single" w:color="DDDDDD" w:sz="6"/>
              <w:bottom w:val="single" w:color="DDDDDD" w:sz="6"/>
              <w:right w:val="single" w:color="DDDDDD" w:sz="6"/>
            </w:tcBorders>
            <w:shd w:fill="F8F5E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Motor B + Motor D</w:t>
            </w:r>
          </w:p>
        </w:tc>
        <w:tc>
          <w:tcPr>
            <w:tcW w:type="dxa" w:w="2652"/>
            <w:tcBorders>
              <w:top w:val="single" w:color="DDDDDD" w:sz="6"/>
              <w:left w:val="single" w:color="DDDDDD" w:sz="6"/>
              <w:bottom w:val="single" w:color="DDDDDD" w:sz="6"/>
              <w:right w:val="single" w:color="DDDDDD" w:sz="6"/>
            </w:tcBorders>
            <w:shd w:fill="F8F5E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Ahorro comunitario activo. Acceso a crédito colateral. Lucas como medio de pago.</w:t>
            </w:r>
          </w:p>
        </w:tc>
      </w:tr>
      <w:tr>
        <w:trPr>
          <w:tblHeader w:val="false"/>
        </w:trPr>
        <w:tc>
          <w:tcPr>
            <w:tcW w:type="dxa" w:w="780"/>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Fase 3</w:t>
            </w:r>
          </w:p>
        </w:tc>
        <w:tc>
          <w:tcPr>
            <w:tcW w:type="dxa" w:w="1560"/>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Soberanía</w:t>
            </w:r>
          </w:p>
        </w:tc>
        <w:tc>
          <w:tcPr>
            <w:tcW w:type="dxa" w:w="2184"/>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Pagos en stablecoin, inversión RWA colectiva, dividendos</w:t>
            </w:r>
          </w:p>
        </w:tc>
        <w:tc>
          <w:tcPr>
            <w:tcW w:type="dxa" w:w="2184"/>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Motor C + Emisión Neta Cero</w:t>
            </w:r>
          </w:p>
        </w:tc>
        <w:tc>
          <w:tcPr>
            <w:tcW w:type="dxa" w:w="2652"/>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Dividendos reales del Vault. $LUKA funciona como acción preferente con flujo constante.</w:t>
            </w:r>
          </w:p>
        </w:tc>
      </w:tr>
    </w:tbl>
    <w:p>
      <w:pPr>
        <w:spacing w:before="80" w:after="0"/>
      </w:pPr>
      <w:r>
        <w:t xml:space="preserve"/>
      </w:r>
    </w:p>
    <w:p>
      <w:pPr>
        <w:pStyle w:val="Heading2"/>
        <w:pBdr>
          <w:bottom w:val="single" w:color="C9A84C" w:sz="4" w:space="2"/>
        </w:pBdr>
        <w:spacing w:before="280" w:after="100"/>
      </w:pPr>
      <w:r>
        <w:rPr>
          <w:rFonts w:ascii="Arial" w:cs="Arial" w:eastAsia="Arial" w:hAnsi="Arial"/>
          <w:b/>
          <w:bCs/>
          <w:color w:val="2D6A4F"/>
          <w:sz w:val="26"/>
          <w:szCs w:val="26"/>
        </w:rPr>
        <w:t xml:space="preserve">3. CANALES DE DISTRIBUCIÓN Y ACCESO</w:t>
      </w:r>
    </w:p>
    <w:p>
      <w:pPr>
        <w:spacing w:before="0" w:after="80"/>
      </w:pPr>
      <w:r>
        <w:rPr>
          <w:rFonts w:ascii="Arial" w:cs="Arial" w:eastAsia="Arial" w:hAnsi="Arial"/>
          <w:b/>
          <w:bCs/>
          <w:caps/>
          <w:color w:val="C9A84C"/>
          <w:sz w:val="18"/>
          <w:szCs w:val="18"/>
        </w:rPr>
        <w:t xml:space="preserve">Ecosistema Solana · Wallet Interactiva · Nodos Sociales</w:t>
      </w:r>
    </w:p>
    <w:p>
      <w:pPr>
        <w:spacing w:before="60" w:after="0"/>
      </w:pPr>
      <w:r>
        <w:t xml:space="preserve"/>
      </w:r>
    </w:p>
    <w:p>
      <w:pPr>
        <w:spacing w:before="200" w:after="60"/>
      </w:pPr>
      <w:r>
        <w:rPr>
          <w:rFonts w:ascii="Arial" w:cs="Arial" w:eastAsia="Arial" w:hAnsi="Arial"/>
          <w:b/>
          <w:bCs/>
          <w:color w:val="3D405B"/>
          <w:sz w:val="22"/>
          <w:szCs w:val="22"/>
        </w:rPr>
        <w:t xml:space="preserve">3.1 Infraestructura de Red — Solana como Ferrocarril</w:t>
      </w:r>
    </w:p>
    <w:p>
      <w:pPr>
        <w:spacing w:before="60" w:after="80"/>
      </w:pPr>
      <w:r>
        <w:rPr>
          <w:rFonts w:ascii="Arial" w:cs="Arial" w:eastAsia="Arial" w:hAnsi="Arial"/>
          <w:color w:val="1A1A2E"/>
          <w:sz w:val="20"/>
          <w:szCs w:val="20"/>
        </w:rPr>
        <w:t xml:space="preserve">La red Solana proporciona la infraestructura de liquidación con finalidad de sub-segundo y costos de transacción promedio de $0.00025–$0.0005 USD. La arquitectura es 100% Solana-nativa: cBTC (cbBTC nativo sin Wormhole), JitoSOL, mSOL y pools en Meteora — eliminando riesgo de bridge en todos los activos del Vault.</w:t>
      </w:r>
    </w:p>
    <w:p>
      <w:pPr>
        <w:spacing w:before="60" w:after="0"/>
      </w:pPr>
      <w:r>
        <w:t xml:space="preserve"/>
      </w:r>
    </w:p>
    <w:p>
      <w:pPr>
        <w:spacing w:before="200" w:after="60"/>
      </w:pPr>
      <w:r>
        <w:rPr>
          <w:rFonts w:ascii="Arial" w:cs="Arial" w:eastAsia="Arial" w:hAnsi="Arial"/>
          <w:b/>
          <w:bCs/>
          <w:color w:val="3D405B"/>
          <w:sz w:val="22"/>
          <w:szCs w:val="22"/>
        </w:rPr>
        <w:t xml:space="preserve">3.2 Wallet Interactiva + LUKAI — Canal Conversacional</w:t>
      </w:r>
    </w:p>
    <w:p>
      <w:pPr>
        <w:spacing w:before="60" w:after="80"/>
      </w:pPr>
      <w:r>
        <w:rPr>
          <w:rFonts w:ascii="Arial" w:cs="Arial" w:eastAsia="Arial" w:hAnsi="Arial"/>
          <w:color w:val="1A1A2E"/>
          <w:sz w:val="20"/>
          <w:szCs w:val="20"/>
        </w:rPr>
        <w:t xml:space="preserve">La Wallet Interactiva de LUKASH elimina las barreras técnicas de DeFi mediante LUKAI v3.1, el orquestador de estados que actúa como interfaz conversacional. El usuario gestiona capital, accede a servicios, consulta su Jaguar Score y participa en Manadas mediante lenguaje natural — sin necesidad de conocimientos técnicos de blockchain.</w:t>
      </w:r>
    </w:p>
    <w:p>
      <w:pPr>
        <w:spacing w:before="60" w:after="0"/>
      </w:pPr>
      <w:r>
        <w:t xml:space="preserve"/>
      </w:r>
    </w:p>
    <w:p>
      <w:pPr>
        <w:spacing w:before="200" w:after="60"/>
      </w:pPr>
      <w:r>
        <w:rPr>
          <w:rFonts w:ascii="Arial" w:cs="Arial" w:eastAsia="Arial" w:hAnsi="Arial"/>
          <w:b/>
          <w:bCs/>
          <w:color w:val="3D405B"/>
          <w:sz w:val="22"/>
          <w:szCs w:val="22"/>
        </w:rPr>
        <w:t xml:space="preserve">3.3 Nodos Sociales — Las Manadas como Canal de Distribución</w:t>
      </w:r>
    </w:p>
    <w:p>
      <w:pPr>
        <w:spacing w:before="60" w:after="80"/>
      </w:pPr>
      <w:r>
        <w:rPr>
          <w:rFonts w:ascii="Arial" w:cs="Arial" w:eastAsia="Arial" w:hAnsi="Arial"/>
          <w:color w:val="1A1A2E"/>
          <w:sz w:val="20"/>
          <w:szCs w:val="20"/>
        </w:rPr>
        <w:t xml:space="preserve">Las Manadas son simultáneamente el producto y el canal más potente del protocolo. Cada nueva Manada activa recluta a sus propios miembros mediante dinámica viral orgánica. El Costo de Adquisición de Cliente (CAC) proyectado es $3.00 USD — por debajo del rango de neobancos digitales ($5–$15 USD) — gracias a la narrativa de Infraestructura Cultural y la viralidad profesionalizada de los KOLs bajo estructura Jaguar Lock.</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1872"/>
        <w:gridCol w:w="2028"/>
      </w:tblGrid>
      <w:tr>
        <w:trPr>
          <w:tblHeader/>
        </w:trPr>
        <w:tc>
          <w:tcPr>
            <w:tcW w:type="dxa" w:w="2340"/>
            <w:tcBorders>
              <w:top w:val="single" w:color="3D405B" w:sz="6"/>
              <w:left w:val="single" w:color="3D405B" w:sz="6"/>
              <w:bottom w:val="single" w:color="3D405B" w:sz="6"/>
              <w:right w:val="single" w:color="3D405B" w:sz="6"/>
            </w:tcBorders>
            <w:shd w:fill="3D405B" w:val="clear"/>
            <w:tcMar>
              <w:top w:type="dxa" w:w="100"/>
              <w:left w:type="dxa" w:w="140"/>
              <w:bottom w:type="dxa" w:w="100"/>
              <w:right w:type="dxa" w:w="140"/>
            </w:tcMar>
            <w:vAlign w:val="center"/>
          </w:tcPr>
          <w:p>
            <w:r>
              <w:rPr>
                <w:rFonts w:ascii="Arial" w:cs="Arial" w:eastAsia="Arial" w:hAnsi="Arial"/>
                <w:b/>
                <w:bCs/>
                <w:color w:val="FFFFFF"/>
                <w:sz w:val="18"/>
                <w:szCs w:val="18"/>
              </w:rPr>
              <w:t xml:space="preserve">Canal</w:t>
            </w:r>
          </w:p>
        </w:tc>
        <w:tc>
          <w:tcPr>
            <w:tcW w:type="dxa" w:w="3120"/>
            <w:tcBorders>
              <w:top w:val="single" w:color="3D405B" w:sz="6"/>
              <w:left w:val="single" w:color="3D405B" w:sz="6"/>
              <w:bottom w:val="single" w:color="3D405B" w:sz="6"/>
              <w:right w:val="single" w:color="3D405B" w:sz="6"/>
            </w:tcBorders>
            <w:shd w:fill="3D405B" w:val="clear"/>
            <w:tcMar>
              <w:top w:type="dxa" w:w="100"/>
              <w:left w:type="dxa" w:w="140"/>
              <w:bottom w:type="dxa" w:w="100"/>
              <w:right w:type="dxa" w:w="140"/>
            </w:tcMar>
            <w:vAlign w:val="center"/>
          </w:tcPr>
          <w:p>
            <w:r>
              <w:rPr>
                <w:rFonts w:ascii="Arial" w:cs="Arial" w:eastAsia="Arial" w:hAnsi="Arial"/>
                <w:b/>
                <w:bCs/>
                <w:color w:val="FFFFFF"/>
                <w:sz w:val="18"/>
                <w:szCs w:val="18"/>
              </w:rPr>
              <w:t xml:space="preserve">Función</w:t>
            </w:r>
          </w:p>
        </w:tc>
        <w:tc>
          <w:tcPr>
            <w:tcW w:type="dxa" w:w="1872"/>
            <w:tcBorders>
              <w:top w:val="single" w:color="3D405B" w:sz="6"/>
              <w:left w:val="single" w:color="3D405B" w:sz="6"/>
              <w:bottom w:val="single" w:color="3D405B" w:sz="6"/>
              <w:right w:val="single" w:color="3D405B" w:sz="6"/>
            </w:tcBorders>
            <w:shd w:fill="3D405B" w:val="clear"/>
            <w:tcMar>
              <w:top w:type="dxa" w:w="100"/>
              <w:left w:type="dxa" w:w="140"/>
              <w:bottom w:type="dxa" w:w="100"/>
              <w:right w:type="dxa" w:w="140"/>
            </w:tcMar>
            <w:vAlign w:val="center"/>
          </w:tcPr>
          <w:p>
            <w:r>
              <w:rPr>
                <w:rFonts w:ascii="Arial" w:cs="Arial" w:eastAsia="Arial" w:hAnsi="Arial"/>
                <w:b/>
                <w:bCs/>
                <w:color w:val="FFFFFF"/>
                <w:sz w:val="18"/>
                <w:szCs w:val="18"/>
              </w:rPr>
              <w:t xml:space="preserve">Etapa de Activación</w:t>
            </w:r>
          </w:p>
        </w:tc>
        <w:tc>
          <w:tcPr>
            <w:tcW w:type="dxa" w:w="2028"/>
            <w:tcBorders>
              <w:top w:val="single" w:color="3D405B" w:sz="6"/>
              <w:left w:val="single" w:color="3D405B" w:sz="6"/>
              <w:bottom w:val="single" w:color="3D405B" w:sz="6"/>
              <w:right w:val="single" w:color="3D405B" w:sz="6"/>
            </w:tcBorders>
            <w:shd w:fill="3D405B" w:val="clear"/>
            <w:tcMar>
              <w:top w:type="dxa" w:w="100"/>
              <w:left w:type="dxa" w:w="140"/>
              <w:bottom w:type="dxa" w:w="100"/>
              <w:right w:type="dxa" w:w="140"/>
            </w:tcMar>
            <w:vAlign w:val="center"/>
          </w:tcPr>
          <w:p>
            <w:r>
              <w:rPr>
                <w:rFonts w:ascii="Arial" w:cs="Arial" w:eastAsia="Arial" w:hAnsi="Arial"/>
                <w:b/>
                <w:bCs/>
                <w:color w:val="FFFFFF"/>
                <w:sz w:val="18"/>
                <w:szCs w:val="18"/>
              </w:rPr>
              <w:t xml:space="preserve">CAC Relativo</w:t>
            </w:r>
          </w:p>
        </w:tc>
      </w:tr>
      <w:tr>
        <w:trPr>
          <w:tblHeader w:val="false"/>
        </w:trPr>
        <w:tc>
          <w:tcPr>
            <w:tcW w:type="dxa" w:w="2340"/>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Jungle Arena</w:t>
            </w:r>
          </w:p>
        </w:tc>
        <w:tc>
          <w:tcPr>
            <w:tcW w:type="dxa" w:w="3120"/>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Onboarding gamificado. Simulador de Jaguar Score. Puerta de entrada al ecosistema.</w:t>
            </w:r>
          </w:p>
        </w:tc>
        <w:tc>
          <w:tcPr>
            <w:tcW w:type="dxa" w:w="1872"/>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Fase 1 — Entrenamiento</w:t>
            </w:r>
          </w:p>
        </w:tc>
        <w:tc>
          <w:tcPr>
            <w:tcW w:type="dxa" w:w="2028"/>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$3.00 USD (proyectado)</w:t>
            </w:r>
          </w:p>
        </w:tc>
      </w:tr>
      <w:tr>
        <w:trPr>
          <w:tblHeader w:val="false"/>
        </w:trPr>
        <w:tc>
          <w:tcPr>
            <w:tcW w:type="dxa" w:w="2340"/>
            <w:tcBorders>
              <w:top w:val="single" w:color="DDDDDD" w:sz="6"/>
              <w:left w:val="single" w:color="DDDDDD" w:sz="6"/>
              <w:bottom w:val="single" w:color="DDDDDD" w:sz="6"/>
              <w:right w:val="single" w:color="DDDDDD" w:sz="6"/>
            </w:tcBorders>
            <w:shd w:fill="F8F5E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App Interactiva / LUKAI</w:t>
            </w:r>
          </w:p>
        </w:tc>
        <w:tc>
          <w:tcPr>
            <w:tcW w:type="dxa" w:w="3120"/>
            <w:tcBorders>
              <w:top w:val="single" w:color="DDDDDD" w:sz="6"/>
              <w:left w:val="single" w:color="DDDDDD" w:sz="6"/>
              <w:bottom w:val="single" w:color="DDDDDD" w:sz="6"/>
              <w:right w:val="single" w:color="DDDDDD" w:sz="6"/>
            </w:tcBorders>
            <w:shd w:fill="F8F5E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Canal transaccional principal. Manadas, pagos, servicios Motor D. Dashboard de Vault.</w:t>
            </w:r>
          </w:p>
        </w:tc>
        <w:tc>
          <w:tcPr>
            <w:tcW w:type="dxa" w:w="1872"/>
            <w:tcBorders>
              <w:top w:val="single" w:color="DDDDDD" w:sz="6"/>
              <w:left w:val="single" w:color="DDDDDD" w:sz="6"/>
              <w:bottom w:val="single" w:color="DDDDDD" w:sz="6"/>
              <w:right w:val="single" w:color="DDDDDD" w:sz="6"/>
            </w:tcBorders>
            <w:shd w:fill="F8F5E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Fase 2 — Transaccional</w:t>
            </w:r>
          </w:p>
        </w:tc>
        <w:tc>
          <w:tcPr>
            <w:tcW w:type="dxa" w:w="2028"/>
            <w:tcBorders>
              <w:top w:val="single" w:color="DDDDDD" w:sz="6"/>
              <w:left w:val="single" w:color="DDDDDD" w:sz="6"/>
              <w:bottom w:val="single" w:color="DDDDDD" w:sz="6"/>
              <w:right w:val="single" w:color="DDDDDD" w:sz="6"/>
            </w:tcBorders>
            <w:shd w:fill="F8F5E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Retención orgánica. CAC 0 (usuarios existentes)</w:t>
            </w:r>
          </w:p>
        </w:tc>
      </w:tr>
      <w:tr>
        <w:trPr>
          <w:tblHeader w:val="false"/>
        </w:trPr>
        <w:tc>
          <w:tcPr>
            <w:tcW w:type="dxa" w:w="2340"/>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KOLs / Jaguar Lock</w:t>
            </w:r>
          </w:p>
        </w:tc>
        <w:tc>
          <w:tcPr>
            <w:tcW w:type="dxa" w:w="3120"/>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Red de creadores con vesting por hitos. Incentivos alineados con el crecimiento del protocolo.</w:t>
            </w:r>
          </w:p>
        </w:tc>
        <w:tc>
          <w:tcPr>
            <w:tcW w:type="dxa" w:w="1872"/>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Fase 1–2</w:t>
            </w:r>
          </w:p>
        </w:tc>
        <w:tc>
          <w:tcPr>
            <w:tcW w:type="dxa" w:w="2028"/>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$0 directo (comisión por volumen generado)</w:t>
            </w:r>
          </w:p>
        </w:tc>
      </w:tr>
      <w:tr>
        <w:trPr>
          <w:tblHeader w:val="false"/>
        </w:trPr>
        <w:tc>
          <w:tcPr>
            <w:tcW w:type="dxa" w:w="2340"/>
            <w:tcBorders>
              <w:top w:val="single" w:color="DDDDDD" w:sz="6"/>
              <w:left w:val="single" w:color="DDDDDD" w:sz="6"/>
              <w:bottom w:val="single" w:color="DDDDDD" w:sz="6"/>
              <w:right w:val="single" w:color="DDDDDD" w:sz="6"/>
            </w:tcBorders>
            <w:shd w:fill="F8F5E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DEX (Meteora / Jupiter)</w:t>
            </w:r>
          </w:p>
        </w:tc>
        <w:tc>
          <w:tcPr>
            <w:tcW w:type="dxa" w:w="3120"/>
            <w:tcBorders>
              <w:top w:val="single" w:color="DDDDDD" w:sz="6"/>
              <w:left w:val="single" w:color="DDDDDD" w:sz="6"/>
              <w:bottom w:val="single" w:color="DDDDDD" w:sz="6"/>
              <w:right w:val="single" w:color="DDDDDD" w:sz="6"/>
            </w:tcBorders>
            <w:shd w:fill="F8F5E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Canal de trading externo. Motor A principal. Captura capital especulativo y lo convierte en Vault.</w:t>
            </w:r>
          </w:p>
        </w:tc>
        <w:tc>
          <w:tcPr>
            <w:tcW w:type="dxa" w:w="1872"/>
            <w:tcBorders>
              <w:top w:val="single" w:color="DDDDDD" w:sz="6"/>
              <w:left w:val="single" w:color="DDDDDD" w:sz="6"/>
              <w:bottom w:val="single" w:color="DDDDDD" w:sz="6"/>
              <w:right w:val="single" w:color="DDDDDD" w:sz="6"/>
            </w:tcBorders>
            <w:shd w:fill="F8F5E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Desde TGE</w:t>
            </w:r>
          </w:p>
        </w:tc>
        <w:tc>
          <w:tcPr>
            <w:tcW w:type="dxa" w:w="2028"/>
            <w:tcBorders>
              <w:top w:val="single" w:color="DDDDDD" w:sz="6"/>
              <w:left w:val="single" w:color="DDDDDD" w:sz="6"/>
              <w:bottom w:val="single" w:color="DDDDDD" w:sz="6"/>
              <w:right w:val="single" w:color="DDDDDD" w:sz="6"/>
            </w:tcBorders>
            <w:shd w:fill="F8F5E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N/A — canal de captura, no adquisición</w:t>
            </w:r>
          </w:p>
        </w:tc>
      </w:tr>
      <w:tr>
        <w:trPr>
          <w:tblHeader w:val="false"/>
        </w:trPr>
        <w:tc>
          <w:tcPr>
            <w:tcW w:type="dxa" w:w="2340"/>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CEX (Fase 2+)</w:t>
            </w:r>
          </w:p>
        </w:tc>
        <w:tc>
          <w:tcPr>
            <w:tcW w:type="dxa" w:w="3120"/>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Listados en exchanges centralizados para ampliar el acceso. Financiado por wallet Marketing/CEX (10% supply).</w:t>
            </w:r>
          </w:p>
        </w:tc>
        <w:tc>
          <w:tcPr>
            <w:tcW w:type="dxa" w:w="1872"/>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Fase 2+</w:t>
            </w:r>
          </w:p>
        </w:tc>
        <w:tc>
          <w:tcPr>
            <w:tcW w:type="dxa" w:w="2028"/>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Cubierto por asignación de supply</w:t>
            </w:r>
          </w:p>
        </w:tc>
      </w:tr>
    </w:tbl>
    <w:p>
      <w:pPr>
        <w:spacing w:before="80" w:after="0"/>
      </w:pPr>
      <w:r>
        <w:t xml:space="preserve"/>
      </w:r>
    </w:p>
    <w:p>
      <w:pPr>
        <w:pStyle w:val="Heading2"/>
        <w:pBdr>
          <w:bottom w:val="single" w:color="C9A84C" w:sz="4" w:space="2"/>
        </w:pBdr>
        <w:spacing w:before="280" w:after="100"/>
      </w:pPr>
      <w:r>
        <w:rPr>
          <w:rFonts w:ascii="Arial" w:cs="Arial" w:eastAsia="Arial" w:hAnsi="Arial"/>
          <w:b/>
          <w:bCs/>
          <w:color w:val="2D6A4F"/>
          <w:sz w:val="26"/>
          <w:szCs w:val="26"/>
        </w:rPr>
        <w:t xml:space="preserve">4. RELACIONES CON CLIENTES</w:t>
      </w:r>
    </w:p>
    <w:p>
      <w:pPr>
        <w:spacing w:before="0" w:after="80"/>
      </w:pPr>
      <w:r>
        <w:rPr>
          <w:rFonts w:ascii="Arial" w:cs="Arial" w:eastAsia="Arial" w:hAnsi="Arial"/>
          <w:b/>
          <w:bCs/>
          <w:caps/>
          <w:color w:val="C9A84C"/>
          <w:sz w:val="18"/>
          <w:szCs w:val="18"/>
        </w:rPr>
        <w:t xml:space="preserve">Jungle Arena · Gamificación Educativa · Retención Orgánica</w:t>
      </w:r>
    </w:p>
    <w:p>
      <w:pPr>
        <w:spacing w:before="60" w:after="0"/>
      </w:pPr>
      <w:r>
        <w:t xml:space="preserve"/>
      </w:r>
    </w:p>
    <w:p>
      <w:pPr>
        <w:spacing w:before="60" w:after="80"/>
      </w:pPr>
      <w:r>
        <w:rPr>
          <w:rFonts w:ascii="Arial" w:cs="Arial" w:eastAsia="Arial" w:hAnsi="Arial"/>
          <w:color w:val="1A1A2E"/>
          <w:sz w:val="20"/>
          <w:szCs w:val="20"/>
        </w:rPr>
        <w:t xml:space="preserve">El modelo de relación con el cliente en LUKASH opera sin dependencia de soporte humano. LUKAI v3.1 actúa como el punto de contacto primario — educativo, operativo y emocional — creando una experiencia de autoservicio soberano que escala ilimitadamente.</w:t>
      </w:r>
    </w:p>
    <w:p>
      <w:pPr>
        <w:spacing w:before="80" w:after="0"/>
      </w:pPr>
      <w:r>
        <w:t xml:space="preserve"/>
      </w:r>
    </w:p>
    <w:p>
      <w:pPr>
        <w:spacing w:before="200" w:after="60"/>
      </w:pPr>
      <w:r>
        <w:rPr>
          <w:rFonts w:ascii="Arial" w:cs="Arial" w:eastAsia="Arial" w:hAnsi="Arial"/>
          <w:b/>
          <w:bCs/>
          <w:color w:val="3D405B"/>
          <w:sz w:val="22"/>
          <w:szCs w:val="22"/>
        </w:rPr>
        <w:t xml:space="preserve">4.1 Jungle Arena — Motor de Retención Gamificado</w:t>
      </w:r>
    </w:p>
    <w:p>
      <w:pPr>
        <w:spacing w:before="60" w:after="80"/>
      </w:pPr>
      <w:r>
        <w:rPr>
          <w:rFonts w:ascii="Arial" w:cs="Arial" w:eastAsia="Arial" w:hAnsi="Arial"/>
          <w:color w:val="1A1A2E"/>
          <w:sz w:val="20"/>
          <w:szCs w:val="20"/>
        </w:rPr>
        <w:t xml:space="preserve">La Jungle Arena es la interfaz de gamificación educativa del protocolo. Transforma el aprendizaje financiero en una experiencia de progreso de identidad, donde el Jaguar Score actúa como currículum visible y mérito social dentro de la comunidad.</w:t>
      </w:r>
    </w:p>
    <w:p>
      <w:pPr>
        <w:spacing w:before="40" w:after="0"/>
      </w:pPr>
      <w:r>
        <w:t xml:space="preserve"/>
      </w:r>
    </w:p>
    <w:p>
      <w:pPr>
        <w:pStyle w:val="ListParagraph"/>
        <w:numPr>
          <w:ilvl w:val="0"/>
          <w:numId w:val="2"/>
        </w:numPr>
        <w:spacing w:before="40" w:after="40"/>
        <w:ind w:left="360" w:hanging="260"/>
      </w:pPr>
      <w:r>
        <w:rPr>
          <w:rFonts w:ascii="Arial" w:cs="Arial" w:eastAsia="Arial" w:hAnsi="Arial"/>
          <w:color w:val="1A1A2E"/>
          <w:sz w:val="20"/>
          <w:szCs w:val="20"/>
        </w:rPr>
        <w:t xml:space="preserve">Efecto Gradiente Validado: Los usuarios expuestos a visualizaciones de progreso (Jaguar Score) ahorran un 23% más en promedio.</w:t>
      </w:r>
    </w:p>
    <w:p>
      <w:pPr>
        <w:pStyle w:val="ListParagraph"/>
        <w:numPr>
          <w:ilvl w:val="0"/>
          <w:numId w:val="2"/>
        </w:numPr>
        <w:spacing w:before="40" w:after="40"/>
        <w:ind w:left="360" w:hanging="260"/>
      </w:pPr>
      <w:r>
        <w:rPr>
          <w:rFonts w:ascii="Arial" w:cs="Arial" w:eastAsia="Arial" w:hAnsi="Arial"/>
          <w:color w:val="1A1A2E"/>
          <w:sz w:val="20"/>
          <w:szCs w:val="20"/>
        </w:rPr>
        <w:t xml:space="preserve">Retención 5x más rentable: La retención mediante niveles de lealtad gamificados supera en rentabilidad hasta 5 veces a la adquisición de nuevo usuario.</w:t>
      </w:r>
    </w:p>
    <w:p>
      <w:pPr>
        <w:pStyle w:val="ListParagraph"/>
        <w:numPr>
          <w:ilvl w:val="0"/>
          <w:numId w:val="2"/>
        </w:numPr>
        <w:spacing w:before="40" w:after="40"/>
        <w:ind w:left="360" w:hanging="260"/>
      </w:pPr>
      <w:r>
        <w:rPr>
          <w:rFonts w:ascii="Arial" w:cs="Arial" w:eastAsia="Arial" w:hAnsi="Arial"/>
          <w:color w:val="1A1A2E"/>
          <w:sz w:val="20"/>
          <w:szCs w:val="20"/>
        </w:rPr>
        <w:t xml:space="preserve">Compromiso 3.2x superior: Los participantes en ecosistemas culturales descentralizados demuestran métricas de engagement 3.2 veces más altas que en plataformas convencionales.</w:t>
      </w:r>
    </w:p>
    <w:p>
      <w:pPr>
        <w:spacing w:before="80" w:after="0"/>
      </w:pPr>
      <w:r>
        <w:t xml:space="preserve"/>
      </w:r>
    </w:p>
    <w:p>
      <w:pPr>
        <w:spacing w:before="200" w:after="60"/>
      </w:pPr>
      <w:r>
        <w:rPr>
          <w:rFonts w:ascii="Arial" w:cs="Arial" w:eastAsia="Arial" w:hAnsi="Arial"/>
          <w:b/>
          <w:bCs/>
          <w:color w:val="3D405B"/>
          <w:sz w:val="22"/>
          <w:szCs w:val="22"/>
        </w:rPr>
        <w:t xml:space="preserve">4.2 Modelo de Relación por Etapa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84"/>
        <w:gridCol w:w="1872"/>
        <w:gridCol w:w="3120"/>
        <w:gridCol w:w="2184"/>
      </w:tblGrid>
      <w:tr>
        <w:trPr>
          <w:tblHeader/>
        </w:trPr>
        <w:tc>
          <w:tcPr>
            <w:tcW w:type="dxa" w:w="2184"/>
            <w:tcBorders>
              <w:top w:val="single" w:color="2D6A4F" w:sz="6"/>
              <w:left w:val="single" w:color="2D6A4F" w:sz="6"/>
              <w:bottom w:val="single" w:color="2D6A4F" w:sz="6"/>
              <w:right w:val="single" w:color="2D6A4F" w:sz="6"/>
            </w:tcBorders>
            <w:shd w:fill="2D6A4F" w:val="clear"/>
            <w:tcMar>
              <w:top w:type="dxa" w:w="100"/>
              <w:left w:type="dxa" w:w="140"/>
              <w:bottom w:type="dxa" w:w="100"/>
              <w:right w:type="dxa" w:w="140"/>
            </w:tcMar>
            <w:vAlign w:val="center"/>
          </w:tcPr>
          <w:p>
            <w:r>
              <w:rPr>
                <w:rFonts w:ascii="Arial" w:cs="Arial" w:eastAsia="Arial" w:hAnsi="Arial"/>
                <w:b/>
                <w:bCs/>
                <w:color w:val="FFFFFF"/>
                <w:sz w:val="18"/>
                <w:szCs w:val="18"/>
              </w:rPr>
              <w:t xml:space="preserve">Etapa del Funnel</w:t>
            </w:r>
          </w:p>
        </w:tc>
        <w:tc>
          <w:tcPr>
            <w:tcW w:type="dxa" w:w="1872"/>
            <w:tcBorders>
              <w:top w:val="single" w:color="2D6A4F" w:sz="6"/>
              <w:left w:val="single" w:color="2D6A4F" w:sz="6"/>
              <w:bottom w:val="single" w:color="2D6A4F" w:sz="6"/>
              <w:right w:val="single" w:color="2D6A4F" w:sz="6"/>
            </w:tcBorders>
            <w:shd w:fill="2D6A4F" w:val="clear"/>
            <w:tcMar>
              <w:top w:type="dxa" w:w="100"/>
              <w:left w:type="dxa" w:w="140"/>
              <w:bottom w:type="dxa" w:w="100"/>
              <w:right w:type="dxa" w:w="140"/>
            </w:tcMar>
            <w:vAlign w:val="center"/>
          </w:tcPr>
          <w:p>
            <w:r>
              <w:rPr>
                <w:rFonts w:ascii="Arial" w:cs="Arial" w:eastAsia="Arial" w:hAnsi="Arial"/>
                <w:b/>
                <w:bCs/>
                <w:color w:val="FFFFFF"/>
                <w:sz w:val="18"/>
                <w:szCs w:val="18"/>
              </w:rPr>
              <w:t xml:space="preserve">Tipo de Relación</w:t>
            </w:r>
          </w:p>
        </w:tc>
        <w:tc>
          <w:tcPr>
            <w:tcW w:type="dxa" w:w="3120"/>
            <w:tcBorders>
              <w:top w:val="single" w:color="2D6A4F" w:sz="6"/>
              <w:left w:val="single" w:color="2D6A4F" w:sz="6"/>
              <w:bottom w:val="single" w:color="2D6A4F" w:sz="6"/>
              <w:right w:val="single" w:color="2D6A4F" w:sz="6"/>
            </w:tcBorders>
            <w:shd w:fill="2D6A4F" w:val="clear"/>
            <w:tcMar>
              <w:top w:type="dxa" w:w="100"/>
              <w:left w:type="dxa" w:w="140"/>
              <w:bottom w:type="dxa" w:w="100"/>
              <w:right w:type="dxa" w:w="140"/>
            </w:tcMar>
            <w:vAlign w:val="center"/>
          </w:tcPr>
          <w:p>
            <w:r>
              <w:rPr>
                <w:rFonts w:ascii="Arial" w:cs="Arial" w:eastAsia="Arial" w:hAnsi="Arial"/>
                <w:b/>
                <w:bCs/>
                <w:color w:val="FFFFFF"/>
                <w:sz w:val="18"/>
                <w:szCs w:val="18"/>
              </w:rPr>
              <w:t xml:space="preserve">Mecanismo de LUKAI</w:t>
            </w:r>
          </w:p>
        </w:tc>
        <w:tc>
          <w:tcPr>
            <w:tcW w:type="dxa" w:w="2184"/>
            <w:tcBorders>
              <w:top w:val="single" w:color="2D6A4F" w:sz="6"/>
              <w:left w:val="single" w:color="2D6A4F" w:sz="6"/>
              <w:bottom w:val="single" w:color="2D6A4F" w:sz="6"/>
              <w:right w:val="single" w:color="2D6A4F" w:sz="6"/>
            </w:tcBorders>
            <w:shd w:fill="2D6A4F" w:val="clear"/>
            <w:tcMar>
              <w:top w:type="dxa" w:w="100"/>
              <w:left w:type="dxa" w:w="140"/>
              <w:bottom w:type="dxa" w:w="100"/>
              <w:right w:type="dxa" w:w="140"/>
            </w:tcMar>
            <w:vAlign w:val="center"/>
          </w:tcPr>
          <w:p>
            <w:r>
              <w:rPr>
                <w:rFonts w:ascii="Arial" w:cs="Arial" w:eastAsia="Arial" w:hAnsi="Arial"/>
                <w:b/>
                <w:bCs/>
                <w:color w:val="FFFFFF"/>
                <w:sz w:val="18"/>
                <w:szCs w:val="18"/>
              </w:rPr>
              <w:t xml:space="preserve">Indicador de Éxito</w:t>
            </w:r>
          </w:p>
        </w:tc>
      </w:tr>
      <w:tr>
        <w:trPr>
          <w:tblHeader w:val="false"/>
        </w:trPr>
        <w:tc>
          <w:tcPr>
            <w:tcW w:type="dxa" w:w="2184"/>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Entrenamiento</w:t>
            </w:r>
          </w:p>
        </w:tc>
        <w:tc>
          <w:tcPr>
            <w:tcW w:type="dxa" w:w="1872"/>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Mentor-Aprendiz</w:t>
            </w:r>
          </w:p>
        </w:tc>
        <w:tc>
          <w:tcPr>
            <w:tcW w:type="dxa" w:w="3120"/>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Onboarding conversacional guiado, simulador con feedback inmediato</w:t>
            </w:r>
          </w:p>
        </w:tc>
        <w:tc>
          <w:tcPr>
            <w:tcW w:type="dxa" w:w="2184"/>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Jaguar Score inicial construido. Primer airdrop recibido.</w:t>
            </w:r>
          </w:p>
        </w:tc>
      </w:tr>
      <w:tr>
        <w:trPr>
          <w:tblHeader w:val="false"/>
        </w:trPr>
        <w:tc>
          <w:tcPr>
            <w:tcW w:type="dxa" w:w="2184"/>
            <w:tcBorders>
              <w:top w:val="single" w:color="DDDDDD" w:sz="6"/>
              <w:left w:val="single" w:color="DDDDDD" w:sz="6"/>
              <w:bottom w:val="single" w:color="DDDDDD" w:sz="6"/>
              <w:right w:val="single" w:color="DDDDDD" w:sz="6"/>
            </w:tcBorders>
            <w:shd w:fill="F8F5E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Transaccional</w:t>
            </w:r>
          </w:p>
        </w:tc>
        <w:tc>
          <w:tcPr>
            <w:tcW w:type="dxa" w:w="1872"/>
            <w:tcBorders>
              <w:top w:val="single" w:color="DDDDDD" w:sz="6"/>
              <w:left w:val="single" w:color="DDDDDD" w:sz="6"/>
              <w:bottom w:val="single" w:color="DDDDDD" w:sz="6"/>
              <w:right w:val="single" w:color="DDDDDD" w:sz="6"/>
            </w:tcBorders>
            <w:shd w:fill="F8F5E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Compañero de Manada</w:t>
            </w:r>
          </w:p>
        </w:tc>
        <w:tc>
          <w:tcPr>
            <w:tcW w:type="dxa" w:w="3120"/>
            <w:tcBorders>
              <w:top w:val="single" w:color="DDDDDD" w:sz="6"/>
              <w:left w:val="single" w:color="DDDDDD" w:sz="6"/>
              <w:bottom w:val="single" w:color="DDDDDD" w:sz="6"/>
              <w:right w:val="single" w:color="DDDDDD" w:sz="6"/>
            </w:tcBorders>
            <w:shd w:fill="F8F5E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Orquestación de estados B0/B2. Notificaciones de Vault. Alertas de Throttle.</w:t>
            </w:r>
          </w:p>
        </w:tc>
        <w:tc>
          <w:tcPr>
            <w:tcW w:type="dxa" w:w="2184"/>
            <w:tcBorders>
              <w:top w:val="single" w:color="DDDDDD" w:sz="6"/>
              <w:left w:val="single" w:color="DDDDDD" w:sz="6"/>
              <w:bottom w:val="single" w:color="DDDDDD" w:sz="6"/>
              <w:right w:val="single" w:color="DDDDDD" w:sz="6"/>
            </w:tcBorders>
            <w:shd w:fill="F8F5E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Volumen en Motor D activo. Manada con ≥3 miembros activos.</w:t>
            </w:r>
          </w:p>
        </w:tc>
      </w:tr>
      <w:tr>
        <w:trPr>
          <w:tblHeader w:val="false"/>
        </w:trPr>
        <w:tc>
          <w:tcPr>
            <w:tcW w:type="dxa" w:w="2184"/>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Soberanía</w:t>
            </w:r>
          </w:p>
        </w:tc>
        <w:tc>
          <w:tcPr>
            <w:tcW w:type="dxa" w:w="1872"/>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Socio del Protocolo</w:t>
            </w:r>
          </w:p>
        </w:tc>
        <w:tc>
          <w:tcPr>
            <w:tcW w:type="dxa" w:w="3120"/>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Dashboard de dividendos. Reporte de P_KASH. Votación de gobernanza.</w:t>
            </w:r>
          </w:p>
        </w:tc>
        <w:tc>
          <w:tcPr>
            <w:tcW w:type="dxa" w:w="2184"/>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Distribución de yield recibida desde mes 13. LTV máximo.</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7B39" w:sz="12"/>
              <w:left w:val="single" w:color="E07B39" w:sz="20"/>
              <w:bottom w:val="single" w:color="E07B39" w:sz="6"/>
              <w:right w:val="single" w:color="E07B39" w:sz="6"/>
            </w:tcBorders>
            <w:shd w:fill="FFF8E8" w:val="clear"/>
            <w:tcMar>
              <w:top w:type="dxa" w:w="140"/>
              <w:left w:type="dxa" w:w="200"/>
              <w:bottom w:type="dxa" w:w="140"/>
              <w:right w:type="dxa" w:w="200"/>
            </w:tcMar>
          </w:tcPr>
          <w:p>
            <w:r>
              <w:rPr>
                <w:rFonts w:ascii="Arial" w:cs="Arial" w:eastAsia="Arial" w:hAnsi="Arial"/>
                <w:b/>
                <w:bCs/>
                <w:color w:val="E07B39"/>
                <w:sz w:val="20"/>
                <w:szCs w:val="20"/>
              </w:rPr>
              <w:t xml:space="preserve">COSTO DE SALIDA PSICOLÓGICO — El Foso de Retención</w:t>
            </w:r>
          </w:p>
          <w:p>
            <w:pPr>
              <w:spacing w:before="60"/>
            </w:pPr>
            <w:r>
              <w:rPr>
                <w:rFonts w:ascii="Arial" w:cs="Arial" w:eastAsia="Arial" w:hAnsi="Arial"/>
                <w:color w:val="1A1A2E"/>
                <w:sz w:val="19"/>
                <w:szCs w:val="19"/>
              </w:rPr>
              <w:t xml:space="preserve">El Jaguar Score acumulado por el usuario representa su reputación financiera digital verificable on-chain. Abandonar el protocolo implica perder este historial construido. Este mecanismo genera retención orgánica sin incentivos artificiales de corto plazo ni dependencia de soporte humano.</w:t>
            </w:r>
          </w:p>
        </w:tc>
      </w:tr>
    </w:tbl>
    <w:p>
      <w:pPr>
        <w:spacing w:before="80" w:after="0"/>
      </w:pPr>
      <w:r>
        <w:t xml:space="preserve"/>
      </w:r>
    </w:p>
    <w:p>
      <w:pPr>
        <w:pStyle w:val="Heading2"/>
        <w:pBdr>
          <w:bottom w:val="single" w:color="C9A84C" w:sz="4" w:space="2"/>
        </w:pBdr>
        <w:spacing w:before="280" w:after="100"/>
      </w:pPr>
      <w:r>
        <w:rPr>
          <w:rFonts w:ascii="Arial" w:cs="Arial" w:eastAsia="Arial" w:hAnsi="Arial"/>
          <w:b/>
          <w:bCs/>
          <w:color w:val="2D6A4F"/>
          <w:sz w:val="26"/>
          <w:szCs w:val="26"/>
        </w:rPr>
        <w:t xml:space="preserve">5. FUENTES DE INGRESOS</w:t>
      </w:r>
    </w:p>
    <w:p>
      <w:pPr>
        <w:spacing w:before="0" w:after="80"/>
      </w:pPr>
      <w:r>
        <w:rPr>
          <w:rFonts w:ascii="Arial" w:cs="Arial" w:eastAsia="Arial" w:hAnsi="Arial"/>
          <w:b/>
          <w:bCs/>
          <w:caps/>
          <w:color w:val="C9A84C"/>
          <w:sz w:val="18"/>
          <w:szCs w:val="18"/>
        </w:rPr>
        <w:t xml:space="preserve">Jerarquía de Fees · Motores Económicos A–D · Rendimientos del Vault</w:t>
      </w:r>
    </w:p>
    <w:p>
      <w:pPr>
        <w:spacing w:before="60" w:after="0"/>
      </w:pPr>
      <w:r>
        <w:t xml:space="preserve"/>
      </w:r>
    </w:p>
    <w:p>
      <w:pPr>
        <w:spacing w:before="200" w:after="60"/>
      </w:pPr>
      <w:r>
        <w:rPr>
          <w:rFonts w:ascii="Arial" w:cs="Arial" w:eastAsia="Arial" w:hAnsi="Arial"/>
          <w:b/>
          <w:bCs/>
          <w:color w:val="3D405B"/>
          <w:sz w:val="22"/>
          <w:szCs w:val="22"/>
        </w:rPr>
        <w:t xml:space="preserve">5.1 Jerarquía de Fees por Etapa de Madurez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936"/>
        <w:gridCol w:w="1404"/>
        <w:gridCol w:w="2184"/>
        <w:gridCol w:w="2496"/>
      </w:tblGrid>
      <w:tr>
        <w:trPr>
          <w:tblHeader/>
        </w:trPr>
        <w:tc>
          <w:tcPr>
            <w:tcW w:type="dxa" w:w="2340"/>
            <w:tcBorders>
              <w:top w:val="single" w:color="3D405B" w:sz="6"/>
              <w:left w:val="single" w:color="3D405B" w:sz="6"/>
              <w:bottom w:val="single" w:color="3D405B" w:sz="6"/>
              <w:right w:val="single" w:color="3D405B" w:sz="6"/>
            </w:tcBorders>
            <w:shd w:fill="3D405B" w:val="clear"/>
            <w:tcMar>
              <w:top w:type="dxa" w:w="100"/>
              <w:left w:type="dxa" w:w="140"/>
              <w:bottom w:type="dxa" w:w="100"/>
              <w:right w:type="dxa" w:w="140"/>
            </w:tcMar>
            <w:vAlign w:val="center"/>
          </w:tcPr>
          <w:p>
            <w:r>
              <w:rPr>
                <w:rFonts w:ascii="Arial" w:cs="Arial" w:eastAsia="Arial" w:hAnsi="Arial"/>
                <w:b/>
                <w:bCs/>
                <w:color w:val="FFFFFF"/>
                <w:sz w:val="18"/>
                <w:szCs w:val="18"/>
              </w:rPr>
              <w:t xml:space="preserve">Etapa</w:t>
            </w:r>
          </w:p>
        </w:tc>
        <w:tc>
          <w:tcPr>
            <w:tcW w:type="dxa" w:w="936"/>
            <w:tcBorders>
              <w:top w:val="single" w:color="3D405B" w:sz="6"/>
              <w:left w:val="single" w:color="3D405B" w:sz="6"/>
              <w:bottom w:val="single" w:color="3D405B" w:sz="6"/>
              <w:right w:val="single" w:color="3D405B" w:sz="6"/>
            </w:tcBorders>
            <w:shd w:fill="3D405B" w:val="clear"/>
            <w:tcMar>
              <w:top w:type="dxa" w:w="100"/>
              <w:left w:type="dxa" w:w="140"/>
              <w:bottom w:type="dxa" w:w="100"/>
              <w:right w:type="dxa" w:w="140"/>
            </w:tcMar>
            <w:vAlign w:val="center"/>
          </w:tcPr>
          <w:p>
            <w:r>
              <w:rPr>
                <w:rFonts w:ascii="Arial" w:cs="Arial" w:eastAsia="Arial" w:hAnsi="Arial"/>
                <w:b/>
                <w:bCs/>
                <w:color w:val="FFFFFF"/>
                <w:sz w:val="18"/>
                <w:szCs w:val="18"/>
              </w:rPr>
              <w:t xml:space="preserve">Fee Base</w:t>
            </w:r>
          </w:p>
        </w:tc>
        <w:tc>
          <w:tcPr>
            <w:tcW w:type="dxa" w:w="1404"/>
            <w:tcBorders>
              <w:top w:val="single" w:color="3D405B" w:sz="6"/>
              <w:left w:val="single" w:color="3D405B" w:sz="6"/>
              <w:bottom w:val="single" w:color="3D405B" w:sz="6"/>
              <w:right w:val="single" w:color="3D405B" w:sz="6"/>
            </w:tcBorders>
            <w:shd w:fill="3D405B" w:val="clear"/>
            <w:tcMar>
              <w:top w:type="dxa" w:w="100"/>
              <w:left w:type="dxa" w:w="140"/>
              <w:bottom w:type="dxa" w:w="100"/>
              <w:right w:type="dxa" w:w="140"/>
            </w:tcMar>
            <w:vAlign w:val="center"/>
          </w:tcPr>
          <w:p>
            <w:r>
              <w:rPr>
                <w:rFonts w:ascii="Arial" w:cs="Arial" w:eastAsia="Arial" w:hAnsi="Arial"/>
                <w:b/>
                <w:bCs/>
                <w:color w:val="FFFFFF"/>
                <w:sz w:val="18"/>
                <w:szCs w:val="18"/>
              </w:rPr>
              <w:t xml:space="preserve">Fee Whitelist</w:t>
            </w:r>
          </w:p>
        </w:tc>
        <w:tc>
          <w:tcPr>
            <w:tcW w:type="dxa" w:w="2184"/>
            <w:tcBorders>
              <w:top w:val="single" w:color="3D405B" w:sz="6"/>
              <w:left w:val="single" w:color="3D405B" w:sz="6"/>
              <w:bottom w:val="single" w:color="3D405B" w:sz="6"/>
              <w:right w:val="single" w:color="3D405B" w:sz="6"/>
            </w:tcBorders>
            <w:shd w:fill="3D405B" w:val="clear"/>
            <w:tcMar>
              <w:top w:type="dxa" w:w="100"/>
              <w:left w:type="dxa" w:w="140"/>
              <w:bottom w:type="dxa" w:w="100"/>
              <w:right w:type="dxa" w:w="140"/>
            </w:tcMar>
            <w:vAlign w:val="center"/>
          </w:tcPr>
          <w:p>
            <w:r>
              <w:rPr>
                <w:rFonts w:ascii="Arial" w:cs="Arial" w:eastAsia="Arial" w:hAnsi="Arial"/>
                <w:b/>
                <w:bCs/>
                <w:color w:val="FFFFFF"/>
                <w:sz w:val="18"/>
                <w:szCs w:val="18"/>
              </w:rPr>
              <w:t xml:space="preserve">Motor Principal Activo</w:t>
            </w:r>
          </w:p>
        </w:tc>
        <w:tc>
          <w:tcPr>
            <w:tcW w:type="dxa" w:w="2496"/>
            <w:tcBorders>
              <w:top w:val="single" w:color="3D405B" w:sz="6"/>
              <w:left w:val="single" w:color="3D405B" w:sz="6"/>
              <w:bottom w:val="single" w:color="3D405B" w:sz="6"/>
              <w:right w:val="single" w:color="3D405B" w:sz="6"/>
            </w:tcBorders>
            <w:shd w:fill="3D405B" w:val="clear"/>
            <w:tcMar>
              <w:top w:type="dxa" w:w="100"/>
              <w:left w:type="dxa" w:w="140"/>
              <w:bottom w:type="dxa" w:w="100"/>
              <w:right w:type="dxa" w:w="140"/>
            </w:tcMar>
            <w:vAlign w:val="center"/>
          </w:tcPr>
          <w:p>
            <w:r>
              <w:rPr>
                <w:rFonts w:ascii="Arial" w:cs="Arial" w:eastAsia="Arial" w:hAnsi="Arial"/>
                <w:b/>
                <w:bCs/>
                <w:color w:val="FFFFFF"/>
                <w:sz w:val="18"/>
                <w:szCs w:val="18"/>
              </w:rPr>
              <w:t xml:space="preserve">Descripción Estratégica</w:t>
            </w:r>
          </w:p>
        </w:tc>
      </w:tr>
      <w:tr>
        <w:trPr>
          <w:tblHeader w:val="false"/>
        </w:trPr>
        <w:tc>
          <w:tcPr>
            <w:tcW w:type="dxa" w:w="2340"/>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Etapa 1 — Crecimiento Acelerado</w:t>
            </w:r>
          </w:p>
        </w:tc>
        <w:tc>
          <w:tcPr>
            <w:tcW w:type="dxa" w:w="936"/>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4.0%</w:t>
            </w:r>
          </w:p>
        </w:tc>
        <w:tc>
          <w:tcPr>
            <w:tcW w:type="dxa" w:w="1404"/>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3.0%</w:t>
            </w:r>
          </w:p>
        </w:tc>
        <w:tc>
          <w:tcPr>
            <w:tcW w:type="dxa" w:w="2184"/>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Motor A</w:t>
            </w:r>
          </w:p>
        </w:tc>
        <w:tc>
          <w:tcPr>
            <w:tcW w:type="dxa" w:w="2496"/>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Deflación agresiva. Acumulación máxima del Vault. Bootstrapping del ecosistema desde TGE.</w:t>
            </w:r>
          </w:p>
        </w:tc>
      </w:tr>
      <w:tr>
        <w:trPr>
          <w:tblHeader w:val="false"/>
        </w:trPr>
        <w:tc>
          <w:tcPr>
            <w:tcW w:type="dxa" w:w="2340"/>
            <w:tcBorders>
              <w:top w:val="single" w:color="DDDDDD" w:sz="6"/>
              <w:left w:val="single" w:color="DDDDDD" w:sz="6"/>
              <w:bottom w:val="single" w:color="DDDDDD" w:sz="6"/>
              <w:right w:val="single" w:color="DDDDDD" w:sz="6"/>
            </w:tcBorders>
            <w:shd w:fill="F8F5E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Etapa 2 — Uso de Aplicación</w:t>
            </w:r>
          </w:p>
        </w:tc>
        <w:tc>
          <w:tcPr>
            <w:tcW w:type="dxa" w:w="936"/>
            <w:tcBorders>
              <w:top w:val="single" w:color="DDDDDD" w:sz="6"/>
              <w:left w:val="single" w:color="DDDDDD" w:sz="6"/>
              <w:bottom w:val="single" w:color="DDDDDD" w:sz="6"/>
              <w:right w:val="single" w:color="DDDDDD" w:sz="6"/>
            </w:tcBorders>
            <w:shd w:fill="F8F5E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2.5%</w:t>
            </w:r>
          </w:p>
        </w:tc>
        <w:tc>
          <w:tcPr>
            <w:tcW w:type="dxa" w:w="1404"/>
            <w:tcBorders>
              <w:top w:val="single" w:color="DDDDDD" w:sz="6"/>
              <w:left w:val="single" w:color="DDDDDD" w:sz="6"/>
              <w:bottom w:val="single" w:color="DDDDDD" w:sz="6"/>
              <w:right w:val="single" w:color="DDDDDD" w:sz="6"/>
            </w:tcBorders>
            <w:shd w:fill="F8F5E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1.5%</w:t>
            </w:r>
          </w:p>
        </w:tc>
        <w:tc>
          <w:tcPr>
            <w:tcW w:type="dxa" w:w="2184"/>
            <w:tcBorders>
              <w:top w:val="single" w:color="DDDDDD" w:sz="6"/>
              <w:left w:val="single" w:color="DDDDDD" w:sz="6"/>
              <w:bottom w:val="single" w:color="DDDDDD" w:sz="6"/>
              <w:right w:val="single" w:color="DDDDDD" w:sz="6"/>
            </w:tcBorders>
            <w:shd w:fill="F8F5E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Motor A + Motor B + Motor D</w:t>
            </w:r>
          </w:p>
        </w:tc>
        <w:tc>
          <w:tcPr>
            <w:tcW w:type="dxa" w:w="2496"/>
            <w:tcBorders>
              <w:top w:val="single" w:color="DDDDDD" w:sz="6"/>
              <w:left w:val="single" w:color="DDDDDD" w:sz="6"/>
              <w:bottom w:val="single" w:color="DDDDDD" w:sz="6"/>
              <w:right w:val="single" w:color="DDDDDD" w:sz="6"/>
            </w:tcBorders>
            <w:shd w:fill="F8F5E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App en adopción activa. Vault en trayectoria hacia B2 (K_min = $25M). Motor D social activo.</w:t>
            </w:r>
          </w:p>
        </w:tc>
      </w:tr>
      <w:tr>
        <w:trPr>
          <w:tblHeader w:val="false"/>
        </w:trPr>
        <w:tc>
          <w:tcPr>
            <w:tcW w:type="dxa" w:w="2340"/>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Etapa 3 — Soberanía / Estándar KASH</w:t>
            </w:r>
          </w:p>
        </w:tc>
        <w:tc>
          <w:tcPr>
            <w:tcW w:type="dxa" w:w="936"/>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0.5%</w:t>
            </w:r>
          </w:p>
        </w:tc>
        <w:tc>
          <w:tcPr>
            <w:tcW w:type="dxa" w:w="1404"/>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0.5% (convergencia)</w:t>
            </w:r>
          </w:p>
        </w:tc>
        <w:tc>
          <w:tcPr>
            <w:tcW w:type="dxa" w:w="2184"/>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Motor C + Emisión Neta Cero</w:t>
            </w:r>
          </w:p>
        </w:tc>
        <w:tc>
          <w:tcPr>
            <w:tcW w:type="dxa" w:w="2496"/>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Supply fijo 3.3B $LUKA. Volumen masivo en stablecoins. $LUKA como acción preferente.</w:t>
            </w:r>
          </w:p>
        </w:tc>
      </w:tr>
    </w:tbl>
    <w:p>
      <w:pPr>
        <w:spacing w:before="80" w:after="0"/>
      </w:pPr>
      <w:r>
        <w:t xml:space="preserve"/>
      </w:r>
    </w:p>
    <w:p>
      <w:pPr>
        <w:spacing w:before="200" w:after="60"/>
      </w:pPr>
      <w:r>
        <w:rPr>
          <w:rFonts w:ascii="Arial" w:cs="Arial" w:eastAsia="Arial" w:hAnsi="Arial"/>
          <w:b/>
          <w:bCs/>
          <w:color w:val="3D405B"/>
          <w:sz w:val="22"/>
          <w:szCs w:val="22"/>
        </w:rPr>
        <w:t xml:space="preserve">5.2 Distribución de Fees — Regla 35/35/15/15 (Universal v3.1)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936"/>
        <w:gridCol w:w="1248"/>
        <w:gridCol w:w="1872"/>
        <w:gridCol w:w="1872"/>
        <w:gridCol w:w="1248"/>
        <w:gridCol w:w="1248"/>
      </w:tblGrid>
      <w:tr>
        <w:trPr>
          <w:tblHeader/>
        </w:trPr>
        <w:tc>
          <w:tcPr>
            <w:tcW w:type="dxa" w:w="936"/>
            <w:tcBorders>
              <w:top w:val="single" w:color="2D6A4F" w:sz="6"/>
              <w:left w:val="single" w:color="2D6A4F" w:sz="6"/>
              <w:bottom w:val="single" w:color="2D6A4F" w:sz="6"/>
              <w:right w:val="single" w:color="2D6A4F" w:sz="6"/>
            </w:tcBorders>
            <w:shd w:fill="2D6A4F" w:val="clear"/>
            <w:tcMar>
              <w:top w:type="dxa" w:w="100"/>
              <w:left w:type="dxa" w:w="140"/>
              <w:bottom w:type="dxa" w:w="100"/>
              <w:right w:type="dxa" w:w="140"/>
            </w:tcMar>
            <w:vAlign w:val="center"/>
          </w:tcPr>
          <w:p>
            <w:r>
              <w:rPr>
                <w:rFonts w:ascii="Arial" w:cs="Arial" w:eastAsia="Arial" w:hAnsi="Arial"/>
                <w:b/>
                <w:bCs/>
                <w:color w:val="FFFFFF"/>
                <w:sz w:val="18"/>
                <w:szCs w:val="18"/>
              </w:rPr>
              <w:t xml:space="preserve">Motor</w:t>
            </w:r>
          </w:p>
        </w:tc>
        <w:tc>
          <w:tcPr>
            <w:tcW w:type="dxa" w:w="936"/>
            <w:tcBorders>
              <w:top w:val="single" w:color="2D6A4F" w:sz="6"/>
              <w:left w:val="single" w:color="2D6A4F" w:sz="6"/>
              <w:bottom w:val="single" w:color="2D6A4F" w:sz="6"/>
              <w:right w:val="single" w:color="2D6A4F" w:sz="6"/>
            </w:tcBorders>
            <w:shd w:fill="2D6A4F" w:val="clear"/>
            <w:tcMar>
              <w:top w:type="dxa" w:w="100"/>
              <w:left w:type="dxa" w:w="140"/>
              <w:bottom w:type="dxa" w:w="100"/>
              <w:right w:type="dxa" w:w="140"/>
            </w:tcMar>
            <w:vAlign w:val="center"/>
          </w:tcPr>
          <w:p>
            <w:r>
              <w:rPr>
                <w:rFonts w:ascii="Arial" w:cs="Arial" w:eastAsia="Arial" w:hAnsi="Arial"/>
                <w:b/>
                <w:bCs/>
                <w:color w:val="FFFFFF"/>
                <w:sz w:val="18"/>
                <w:szCs w:val="18"/>
              </w:rPr>
              <w:t xml:space="preserve">Divisa</w:t>
            </w:r>
          </w:p>
        </w:tc>
        <w:tc>
          <w:tcPr>
            <w:tcW w:type="dxa" w:w="1248"/>
            <w:tcBorders>
              <w:top w:val="single" w:color="2D6A4F" w:sz="6"/>
              <w:left w:val="single" w:color="2D6A4F" w:sz="6"/>
              <w:bottom w:val="single" w:color="2D6A4F" w:sz="6"/>
              <w:right w:val="single" w:color="2D6A4F" w:sz="6"/>
            </w:tcBorders>
            <w:shd w:fill="2D6A4F" w:val="clear"/>
            <w:tcMar>
              <w:top w:type="dxa" w:w="100"/>
              <w:left w:type="dxa" w:w="140"/>
              <w:bottom w:type="dxa" w:w="100"/>
              <w:right w:type="dxa" w:w="140"/>
            </w:tcMar>
            <w:vAlign w:val="center"/>
          </w:tcPr>
          <w:p>
            <w:r>
              <w:rPr>
                <w:rFonts w:ascii="Arial" w:cs="Arial" w:eastAsia="Arial" w:hAnsi="Arial"/>
                <w:b/>
                <w:bCs/>
                <w:color w:val="FFFFFF"/>
                <w:sz w:val="18"/>
                <w:szCs w:val="18"/>
              </w:rPr>
              <w:t xml:space="preserve">Fee (Etapa 1/WL)</w:t>
            </w:r>
          </w:p>
        </w:tc>
        <w:tc>
          <w:tcPr>
            <w:tcW w:type="dxa" w:w="1872"/>
            <w:tcBorders>
              <w:top w:val="single" w:color="2D6A4F" w:sz="6"/>
              <w:left w:val="single" w:color="2D6A4F" w:sz="6"/>
              <w:bottom w:val="single" w:color="2D6A4F" w:sz="6"/>
              <w:right w:val="single" w:color="2D6A4F" w:sz="6"/>
            </w:tcBorders>
            <w:shd w:fill="2D6A4F" w:val="clear"/>
            <w:tcMar>
              <w:top w:type="dxa" w:w="100"/>
              <w:left w:type="dxa" w:w="140"/>
              <w:bottom w:type="dxa" w:w="100"/>
              <w:right w:type="dxa" w:w="140"/>
            </w:tcMar>
            <w:vAlign w:val="center"/>
          </w:tcPr>
          <w:p>
            <w:r>
              <w:rPr>
                <w:rFonts w:ascii="Arial" w:cs="Arial" w:eastAsia="Arial" w:hAnsi="Arial"/>
                <w:b/>
                <w:bCs/>
                <w:color w:val="FFFFFF"/>
                <w:sz w:val="18"/>
                <w:szCs w:val="18"/>
              </w:rPr>
              <w:t xml:space="preserve">35% — Vault / Activos</w:t>
            </w:r>
          </w:p>
        </w:tc>
        <w:tc>
          <w:tcPr>
            <w:tcW w:type="dxa" w:w="1872"/>
            <w:tcBorders>
              <w:top w:val="single" w:color="2D6A4F" w:sz="6"/>
              <w:left w:val="single" w:color="2D6A4F" w:sz="6"/>
              <w:bottom w:val="single" w:color="2D6A4F" w:sz="6"/>
              <w:right w:val="single" w:color="2D6A4F" w:sz="6"/>
            </w:tcBorders>
            <w:shd w:fill="2D6A4F" w:val="clear"/>
            <w:tcMar>
              <w:top w:type="dxa" w:w="100"/>
              <w:left w:type="dxa" w:w="140"/>
              <w:bottom w:type="dxa" w:w="100"/>
              <w:right w:type="dxa" w:w="140"/>
            </w:tcMar>
            <w:vAlign w:val="center"/>
          </w:tcPr>
          <w:p>
            <w:r>
              <w:rPr>
                <w:rFonts w:ascii="Arial" w:cs="Arial" w:eastAsia="Arial" w:hAnsi="Arial"/>
                <w:b/>
                <w:bCs/>
                <w:color w:val="FFFFFF"/>
                <w:sz w:val="18"/>
                <w:szCs w:val="18"/>
              </w:rPr>
              <w:t xml:space="preserve">35% — LP / Quema</w:t>
            </w:r>
          </w:p>
        </w:tc>
        <w:tc>
          <w:tcPr>
            <w:tcW w:type="dxa" w:w="1248"/>
            <w:tcBorders>
              <w:top w:val="single" w:color="2D6A4F" w:sz="6"/>
              <w:left w:val="single" w:color="2D6A4F" w:sz="6"/>
              <w:bottom w:val="single" w:color="2D6A4F" w:sz="6"/>
              <w:right w:val="single" w:color="2D6A4F" w:sz="6"/>
            </w:tcBorders>
            <w:shd w:fill="2D6A4F" w:val="clear"/>
            <w:tcMar>
              <w:top w:type="dxa" w:w="100"/>
              <w:left w:type="dxa" w:w="140"/>
              <w:bottom w:type="dxa" w:w="100"/>
              <w:right w:type="dxa" w:w="140"/>
            </w:tcMar>
            <w:vAlign w:val="center"/>
          </w:tcPr>
          <w:p>
            <w:r>
              <w:rPr>
                <w:rFonts w:ascii="Arial" w:cs="Arial" w:eastAsia="Arial" w:hAnsi="Arial"/>
                <w:b/>
                <w:bCs/>
                <w:color w:val="FFFFFF"/>
                <w:sz w:val="18"/>
                <w:szCs w:val="18"/>
              </w:rPr>
              <w:t xml:space="preserve">15% — O&amp;M</w:t>
            </w:r>
          </w:p>
        </w:tc>
        <w:tc>
          <w:tcPr>
            <w:tcW w:type="dxa" w:w="1248"/>
            <w:tcBorders>
              <w:top w:val="single" w:color="2D6A4F" w:sz="6"/>
              <w:left w:val="single" w:color="2D6A4F" w:sz="6"/>
              <w:bottom w:val="single" w:color="2D6A4F" w:sz="6"/>
              <w:right w:val="single" w:color="2D6A4F" w:sz="6"/>
            </w:tcBorders>
            <w:shd w:fill="2D6A4F" w:val="clear"/>
            <w:tcMar>
              <w:top w:type="dxa" w:w="100"/>
              <w:left w:type="dxa" w:w="140"/>
              <w:bottom w:type="dxa" w:w="100"/>
              <w:right w:type="dxa" w:w="140"/>
            </w:tcMar>
            <w:vAlign w:val="center"/>
          </w:tcPr>
          <w:p>
            <w:r>
              <w:rPr>
                <w:rFonts w:ascii="Arial" w:cs="Arial" w:eastAsia="Arial" w:hAnsi="Arial"/>
                <w:b/>
                <w:bCs/>
                <w:color w:val="FFFFFF"/>
                <w:sz w:val="18"/>
                <w:szCs w:val="18"/>
              </w:rPr>
              <w:t xml:space="preserve">15% — Staking</w:t>
            </w:r>
          </w:p>
        </w:tc>
      </w:tr>
      <w:tr>
        <w:trPr>
          <w:tblHeader w:val="false"/>
        </w:trPr>
        <w:tc>
          <w:tcPr>
            <w:tcW w:type="dxa" w:w="936"/>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Motor A</w:t>
            </w:r>
          </w:p>
        </w:tc>
        <w:tc>
          <w:tcPr>
            <w:tcW w:type="dxa" w:w="936"/>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SOL</w:t>
            </w:r>
          </w:p>
        </w:tc>
        <w:tc>
          <w:tcPr>
            <w:tcW w:type="dxa" w:w="1248"/>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4% / 3%</w:t>
            </w:r>
          </w:p>
        </w:tc>
        <w:tc>
          <w:tcPr>
            <w:tcW w:type="dxa" w:w="1872"/>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 Activos KASH v3.1 → Vault Core</w:t>
            </w:r>
          </w:p>
        </w:tc>
        <w:tc>
          <w:tcPr>
            <w:tcW w:type="dxa" w:w="1872"/>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 Compra $LUKA → BURN + presión</w:t>
            </w:r>
          </w:p>
        </w:tc>
        <w:tc>
          <w:tcPr>
            <w:tcW w:type="dxa" w:w="1248"/>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 Wallet O&amp;M</w:t>
            </w:r>
          </w:p>
        </w:tc>
        <w:tc>
          <w:tcPr>
            <w:tcW w:type="dxa" w:w="1248"/>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 Compra $LUKA → Staking</w:t>
            </w:r>
          </w:p>
        </w:tc>
      </w:tr>
      <w:tr>
        <w:trPr>
          <w:tblHeader w:val="false"/>
        </w:trPr>
        <w:tc>
          <w:tcPr>
            <w:tcW w:type="dxa" w:w="936"/>
            <w:tcBorders>
              <w:top w:val="single" w:color="DDDDDD" w:sz="6"/>
              <w:left w:val="single" w:color="DDDDDD" w:sz="6"/>
              <w:bottom w:val="single" w:color="DDDDDD" w:sz="6"/>
              <w:right w:val="single" w:color="DDDDDD" w:sz="6"/>
            </w:tcBorders>
            <w:shd w:fill="F8F5E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Motor B</w:t>
            </w:r>
          </w:p>
        </w:tc>
        <w:tc>
          <w:tcPr>
            <w:tcW w:type="dxa" w:w="936"/>
            <w:tcBorders>
              <w:top w:val="single" w:color="DDDDDD" w:sz="6"/>
              <w:left w:val="single" w:color="DDDDDD" w:sz="6"/>
              <w:bottom w:val="single" w:color="DDDDDD" w:sz="6"/>
              <w:right w:val="single" w:color="DDDDDD" w:sz="6"/>
            </w:tcBorders>
            <w:shd w:fill="F8F5E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$LUKA</w:t>
            </w:r>
          </w:p>
        </w:tc>
        <w:tc>
          <w:tcPr>
            <w:tcW w:type="dxa" w:w="1248"/>
            <w:tcBorders>
              <w:top w:val="single" w:color="DDDDDD" w:sz="6"/>
              <w:left w:val="single" w:color="DDDDDD" w:sz="6"/>
              <w:bottom w:val="single" w:color="DDDDDD" w:sz="6"/>
              <w:right w:val="single" w:color="DDDDDD" w:sz="6"/>
            </w:tcBorders>
            <w:shd w:fill="F8F5E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2.5% / 1.5%</w:t>
            </w:r>
          </w:p>
        </w:tc>
        <w:tc>
          <w:tcPr>
            <w:tcW w:type="dxa" w:w="1872"/>
            <w:tcBorders>
              <w:top w:val="single" w:color="DDDDDD" w:sz="6"/>
              <w:left w:val="single" w:color="DDDDDD" w:sz="6"/>
              <w:bottom w:val="single" w:color="DDDDDD" w:sz="6"/>
              <w:right w:val="single" w:color="DDDDDD" w:sz="6"/>
            </w:tcBorders>
            <w:shd w:fill="F8F5E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 Asset Layer: Hard Assets (cBTC/SOL)</w:t>
            </w:r>
          </w:p>
        </w:tc>
        <w:tc>
          <w:tcPr>
            <w:tcW w:type="dxa" w:w="1872"/>
            <w:tcBorders>
              <w:top w:val="single" w:color="DDDDDD" w:sz="6"/>
              <w:left w:val="single" w:color="DDDDDD" w:sz="6"/>
              <w:bottom w:val="single" w:color="DDDDDD" w:sz="6"/>
              <w:right w:val="single" w:color="DDDDDD" w:sz="6"/>
            </w:tcBorders>
            <w:shd w:fill="F8F5E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B0: BURN permanente / B2: Recirculación LP</w:t>
            </w:r>
          </w:p>
        </w:tc>
        <w:tc>
          <w:tcPr>
            <w:tcW w:type="dxa" w:w="1248"/>
            <w:tcBorders>
              <w:top w:val="single" w:color="DDDDDD" w:sz="6"/>
              <w:left w:val="single" w:color="DDDDDD" w:sz="6"/>
              <w:bottom w:val="single" w:color="DDDDDD" w:sz="6"/>
              <w:right w:val="single" w:color="DDDDDD" w:sz="6"/>
            </w:tcBorders>
            <w:shd w:fill="F8F5E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 Swap SOL/USDC inmediato</w:t>
            </w:r>
          </w:p>
        </w:tc>
        <w:tc>
          <w:tcPr>
            <w:tcW w:type="dxa" w:w="1248"/>
            <w:tcBorders>
              <w:top w:val="single" w:color="DDDDDD" w:sz="6"/>
              <w:left w:val="single" w:color="DDDDDD" w:sz="6"/>
              <w:bottom w:val="single" w:color="DDDDDD" w:sz="6"/>
              <w:right w:val="single" w:color="DDDDDD" w:sz="6"/>
            </w:tcBorders>
            <w:shd w:fill="F8F5E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 $LUKA directo a stakers</w:t>
            </w:r>
          </w:p>
        </w:tc>
      </w:tr>
      <w:tr>
        <w:trPr>
          <w:tblHeader w:val="false"/>
        </w:trPr>
        <w:tc>
          <w:tcPr>
            <w:tcW w:type="dxa" w:w="936"/>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Motor C</w:t>
            </w:r>
          </w:p>
        </w:tc>
        <w:tc>
          <w:tcPr>
            <w:tcW w:type="dxa" w:w="936"/>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USDC</w:t>
            </w:r>
          </w:p>
        </w:tc>
        <w:tc>
          <w:tcPr>
            <w:tcW w:type="dxa" w:w="1248"/>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0.5%</w:t>
            </w:r>
          </w:p>
        </w:tc>
        <w:tc>
          <w:tcPr>
            <w:tcW w:type="dxa" w:w="1872"/>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 Directo al Vault (refuerza buffer USDC)</w:t>
            </w:r>
          </w:p>
        </w:tc>
        <w:tc>
          <w:tcPr>
            <w:tcW w:type="dxa" w:w="1872"/>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 Compra $LUKA → inyección LP</w:t>
            </w:r>
          </w:p>
        </w:tc>
        <w:tc>
          <w:tcPr>
            <w:tcW w:type="dxa" w:w="1248"/>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 Wallet O&amp;M</w:t>
            </w:r>
          </w:p>
        </w:tc>
        <w:tc>
          <w:tcPr>
            <w:tcW w:type="dxa" w:w="1248"/>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 Compra $LUKA → Stakers</w:t>
            </w:r>
          </w:p>
        </w:tc>
      </w:tr>
      <w:tr>
        <w:trPr>
          <w:tblHeader w:val="false"/>
        </w:trPr>
        <w:tc>
          <w:tcPr>
            <w:tcW w:type="dxa" w:w="936"/>
            <w:tcBorders>
              <w:top w:val="single" w:color="DDDDDD" w:sz="6"/>
              <w:left w:val="single" w:color="DDDDDD" w:sz="6"/>
              <w:bottom w:val="single" w:color="DDDDDD" w:sz="6"/>
              <w:right w:val="single" w:color="DDDDDD" w:sz="6"/>
            </w:tcBorders>
            <w:shd w:fill="F8F5E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Motor D</w:t>
            </w:r>
          </w:p>
        </w:tc>
        <w:tc>
          <w:tcPr>
            <w:tcW w:type="dxa" w:w="936"/>
            <w:tcBorders>
              <w:top w:val="single" w:color="DDDDDD" w:sz="6"/>
              <w:left w:val="single" w:color="DDDDDD" w:sz="6"/>
              <w:bottom w:val="single" w:color="DDDDDD" w:sz="6"/>
              <w:right w:val="single" w:color="DDDDDD" w:sz="6"/>
            </w:tcBorders>
            <w:shd w:fill="F8F5E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$LUKA / Multi</w:t>
            </w:r>
          </w:p>
        </w:tc>
        <w:tc>
          <w:tcPr>
            <w:tcW w:type="dxa" w:w="1248"/>
            <w:tcBorders>
              <w:top w:val="single" w:color="DDDDDD" w:sz="6"/>
              <w:left w:val="single" w:color="DDDDDD" w:sz="6"/>
              <w:bottom w:val="single" w:color="DDDDDD" w:sz="6"/>
              <w:right w:val="single" w:color="DDDDDD" w:sz="6"/>
            </w:tcBorders>
            <w:shd w:fill="F8F5E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1.5% fijo*</w:t>
            </w:r>
          </w:p>
        </w:tc>
        <w:tc>
          <w:tcPr>
            <w:tcW w:type="dxa" w:w="1872"/>
            <w:tcBorders>
              <w:top w:val="single" w:color="DDDDDD" w:sz="6"/>
              <w:left w:val="single" w:color="DDDDDD" w:sz="6"/>
              <w:bottom w:val="single" w:color="DDDDDD" w:sz="6"/>
              <w:right w:val="single" w:color="DDDDDD" w:sz="6"/>
            </w:tcBorders>
            <w:shd w:fill="F8F5E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 Asset Layer: Compra Hard Assets</w:t>
            </w:r>
          </w:p>
        </w:tc>
        <w:tc>
          <w:tcPr>
            <w:tcW w:type="dxa" w:w="1872"/>
            <w:tcBorders>
              <w:top w:val="single" w:color="DDDDDD" w:sz="6"/>
              <w:left w:val="single" w:color="DDDDDD" w:sz="6"/>
              <w:bottom w:val="single" w:color="DDDDDD" w:sz="6"/>
              <w:right w:val="single" w:color="DDDDDD" w:sz="6"/>
            </w:tcBorders>
            <w:shd w:fill="F8F5E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B0: BURN / B2: Recirculación (espejo B)</w:t>
            </w:r>
          </w:p>
        </w:tc>
        <w:tc>
          <w:tcPr>
            <w:tcW w:type="dxa" w:w="1248"/>
            <w:tcBorders>
              <w:top w:val="single" w:color="DDDDDD" w:sz="6"/>
              <w:left w:val="single" w:color="DDDDDD" w:sz="6"/>
              <w:bottom w:val="single" w:color="DDDDDD" w:sz="6"/>
              <w:right w:val="single" w:color="DDDDDD" w:sz="6"/>
            </w:tcBorders>
            <w:shd w:fill="F8F5E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 Swap SOL/USDC inmediato</w:t>
            </w:r>
          </w:p>
        </w:tc>
        <w:tc>
          <w:tcPr>
            <w:tcW w:type="dxa" w:w="1248"/>
            <w:tcBorders>
              <w:top w:val="single" w:color="DDDDDD" w:sz="6"/>
              <w:left w:val="single" w:color="DDDDDD" w:sz="6"/>
              <w:bottom w:val="single" w:color="DDDDDD" w:sz="6"/>
              <w:right w:val="single" w:color="DDDDDD" w:sz="6"/>
            </w:tcBorders>
            <w:shd w:fill="F8F5E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 $LUKA directo a stakers</w:t>
            </w:r>
          </w:p>
        </w:tc>
      </w:tr>
    </w:tbl>
    <w:p>
      <w:pPr>
        <w:spacing w:before="40" w:after="0"/>
      </w:pPr>
      <w:r>
        <w:t xml:space="preserve"/>
      </w:r>
    </w:p>
    <w:p>
      <w:pPr>
        <w:spacing w:before="60" w:after="80"/>
      </w:pPr>
      <w:r>
        <w:rPr>
          <w:rFonts w:ascii="Arial" w:cs="Arial" w:eastAsia="Arial" w:hAnsi="Arial"/>
          <w:i/>
          <w:iCs/>
          <w:color w:val="666666"/>
          <w:sz w:val="17"/>
          <w:szCs w:val="17"/>
        </w:rPr>
        <w:t xml:space="preserve">*Motor D: fee fijo 1.5% independiente de la etapa de madurez. cNFT DeFi (Staking/Pools) exentos de Motor D — exención absoluta no modificable por gobernanza.</w:t>
      </w:r>
    </w:p>
    <w:p>
      <w:pPr>
        <w:spacing w:before="80" w:after="0"/>
      </w:pPr>
      <w:r>
        <w:t xml:space="preserve"/>
      </w:r>
    </w:p>
    <w:p>
      <w:pPr>
        <w:spacing w:before="200" w:after="60"/>
      </w:pPr>
      <w:r>
        <w:rPr>
          <w:rFonts w:ascii="Arial" w:cs="Arial" w:eastAsia="Arial" w:hAnsi="Arial"/>
          <w:b/>
          <w:bCs/>
          <w:color w:val="3D405B"/>
          <w:sz w:val="22"/>
          <w:szCs w:val="22"/>
        </w:rPr>
        <w:t xml:space="preserve">5.3 Flujo del Motor A — Ejemplo Cuantificado (Etapa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4F" w:sz="12"/>
              <w:left w:val="single" w:color="2D6A4F" w:sz="20"/>
              <w:bottom w:val="single" w:color="2D6A4F" w:sz="6"/>
              <w:right w:val="single" w:color="2D6A4F" w:sz="6"/>
            </w:tcBorders>
            <w:shd w:fill="EEF5E8" w:val="clear"/>
            <w:tcMar>
              <w:top w:type="dxa" w:w="140"/>
              <w:left w:type="dxa" w:w="200"/>
              <w:bottom w:type="dxa" w:w="140"/>
              <w:right w:type="dxa" w:w="200"/>
            </w:tcMar>
          </w:tcPr>
          <w:p>
            <w:r>
              <w:rPr>
                <w:rFonts w:ascii="Arial" w:cs="Arial" w:eastAsia="Arial" w:hAnsi="Arial"/>
                <w:b/>
                <w:bCs/>
                <w:color w:val="2D6A4F"/>
                <w:sz w:val="20"/>
                <w:szCs w:val="20"/>
              </w:rPr>
              <w:t xml:space="preserve">MOTOR A — Usuario compra $LUKA con 100 SOL en DEX (fee 4% = 4 SOL)</w:t>
            </w:r>
          </w:p>
          <w:p>
            <w:pPr>
              <w:spacing w:before="60"/>
            </w:pPr>
            <w:r>
              <w:rPr>
                <w:rFonts w:ascii="Arial" w:cs="Arial" w:eastAsia="Arial" w:hAnsi="Arial"/>
                <w:color w:val="1A1A2E"/>
                <w:sz w:val="19"/>
                <w:szCs w:val="19"/>
              </w:rPr>
              <w:t xml:space="preserve">1.40 SOL (35%) → Jupiter SDK → activos KASH v3.1 → VAULT KASH CORE [35%→cBTC · 25%→USDC reserva · 15%→SOL · 20%→LST · 5%→lending]
1.40 SOL (35%) → compra $LUKA en mercado abierto → dirección null → BURN PERMANENTE [↑precio + ↓supply]
0.60 SOL (15%) → Wallet O&amp;M (operaciones, fees de red, marketing)
0.60 SOL (15%) → compra $LUKA → Contrato de Staking [presión de compra + recompensa a stakers]</w:t>
            </w:r>
          </w:p>
        </w:tc>
      </w:tr>
    </w:tbl>
    <w:p>
      <w:pPr>
        <w:spacing w:before="80" w:after="0"/>
      </w:pPr>
      <w:r>
        <w:t xml:space="preserve"/>
      </w:r>
    </w:p>
    <w:p>
      <w:pPr>
        <w:spacing w:before="200" w:after="60"/>
      </w:pPr>
      <w:r>
        <w:rPr>
          <w:rFonts w:ascii="Arial" w:cs="Arial" w:eastAsia="Arial" w:hAnsi="Arial"/>
          <w:b/>
          <w:bCs/>
          <w:color w:val="3D405B"/>
          <w:sz w:val="22"/>
          <w:szCs w:val="22"/>
        </w:rPr>
        <w:t xml:space="preserve">5.4 Rendimientos del Vault — Regla 70/30</w:t>
      </w:r>
    </w:p>
    <w:p>
      <w:pPr>
        <w:spacing w:before="60" w:after="80"/>
      </w:pPr>
      <w:r>
        <w:rPr>
          <w:rFonts w:ascii="Arial" w:cs="Arial" w:eastAsia="Arial" w:hAnsi="Arial"/>
          <w:color w:val="1A1A2E"/>
          <w:sz w:val="20"/>
          <w:szCs w:val="20"/>
        </w:rPr>
        <w:t xml:space="preserve">El 70% del yield generado por los activos del Vault se reinvierte automáticamente para crecimiento compuesto. El 30% alimenta la Reserva Operativa en USDC (R_op), financiando las compensaciones del Motor B2 y manteniendo la solvencia del sistema.</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340"/>
        <w:gridCol w:w="2340"/>
        <w:gridCol w:w="1404"/>
        <w:gridCol w:w="1404"/>
      </w:tblGrid>
      <w:tr>
        <w:trPr>
          <w:tblHeader/>
        </w:trPr>
        <w:tc>
          <w:tcPr>
            <w:tcW w:type="dxa" w:w="1872"/>
            <w:tcBorders>
              <w:top w:val="single" w:color="3D405B" w:sz="6"/>
              <w:left w:val="single" w:color="3D405B" w:sz="6"/>
              <w:bottom w:val="single" w:color="3D405B" w:sz="6"/>
              <w:right w:val="single" w:color="3D405B" w:sz="6"/>
            </w:tcBorders>
            <w:shd w:fill="3D405B" w:val="clear"/>
            <w:tcMar>
              <w:top w:type="dxa" w:w="100"/>
              <w:left w:type="dxa" w:w="140"/>
              <w:bottom w:type="dxa" w:w="100"/>
              <w:right w:type="dxa" w:w="140"/>
            </w:tcMar>
            <w:vAlign w:val="center"/>
          </w:tcPr>
          <w:p>
            <w:r>
              <w:rPr>
                <w:rFonts w:ascii="Arial" w:cs="Arial" w:eastAsia="Arial" w:hAnsi="Arial"/>
                <w:b/>
                <w:bCs/>
                <w:color w:val="FFFFFF"/>
                <w:sz w:val="18"/>
                <w:szCs w:val="18"/>
              </w:rPr>
              <w:t xml:space="preserve">Capital del Vault</w:t>
            </w:r>
          </w:p>
        </w:tc>
        <w:tc>
          <w:tcPr>
            <w:tcW w:type="dxa" w:w="2340"/>
            <w:tcBorders>
              <w:top w:val="single" w:color="3D405B" w:sz="6"/>
              <w:left w:val="single" w:color="3D405B" w:sz="6"/>
              <w:bottom w:val="single" w:color="3D405B" w:sz="6"/>
              <w:right w:val="single" w:color="3D405B" w:sz="6"/>
            </w:tcBorders>
            <w:shd w:fill="3D405B" w:val="clear"/>
            <w:tcMar>
              <w:top w:type="dxa" w:w="100"/>
              <w:left w:type="dxa" w:w="140"/>
              <w:bottom w:type="dxa" w:w="100"/>
              <w:right w:type="dxa" w:w="140"/>
            </w:tcMar>
            <w:vAlign w:val="center"/>
          </w:tcPr>
          <w:p>
            <w:r>
              <w:rPr>
                <w:rFonts w:ascii="Arial" w:cs="Arial" w:eastAsia="Arial" w:hAnsi="Arial"/>
                <w:b/>
                <w:bCs/>
                <w:color w:val="FFFFFF"/>
                <w:sz w:val="18"/>
                <w:szCs w:val="18"/>
              </w:rPr>
              <w:t xml:space="preserve">Yield LST 20% (6–8% anual)</w:t>
            </w:r>
          </w:p>
        </w:tc>
        <w:tc>
          <w:tcPr>
            <w:tcW w:type="dxa" w:w="2340"/>
            <w:tcBorders>
              <w:top w:val="single" w:color="3D405B" w:sz="6"/>
              <w:left w:val="single" w:color="3D405B" w:sz="6"/>
              <w:bottom w:val="single" w:color="3D405B" w:sz="6"/>
              <w:right w:val="single" w:color="3D405B" w:sz="6"/>
            </w:tcBorders>
            <w:shd w:fill="3D405B" w:val="clear"/>
            <w:tcMar>
              <w:top w:type="dxa" w:w="100"/>
              <w:left w:type="dxa" w:w="140"/>
              <w:bottom w:type="dxa" w:w="100"/>
              <w:right w:type="dxa" w:w="140"/>
            </w:tcMar>
            <w:vAlign w:val="center"/>
          </w:tcPr>
          <w:p>
            <w:r>
              <w:rPr>
                <w:rFonts w:ascii="Arial" w:cs="Arial" w:eastAsia="Arial" w:hAnsi="Arial"/>
                <w:b/>
                <w:bCs/>
                <w:color w:val="FFFFFF"/>
                <w:sz w:val="18"/>
                <w:szCs w:val="18"/>
              </w:rPr>
              <w:t xml:space="preserve">Yield USDC Lending 5% (4–8%)</w:t>
            </w:r>
          </w:p>
        </w:tc>
        <w:tc>
          <w:tcPr>
            <w:tcW w:type="dxa" w:w="1404"/>
            <w:tcBorders>
              <w:top w:val="single" w:color="3D405B" w:sz="6"/>
              <w:left w:val="single" w:color="3D405B" w:sz="6"/>
              <w:bottom w:val="single" w:color="3D405B" w:sz="6"/>
              <w:right w:val="single" w:color="3D405B" w:sz="6"/>
            </w:tcBorders>
            <w:shd w:fill="3D405B" w:val="clear"/>
            <w:tcMar>
              <w:top w:type="dxa" w:w="100"/>
              <w:left w:type="dxa" w:w="140"/>
              <w:bottom w:type="dxa" w:w="100"/>
              <w:right w:type="dxa" w:w="140"/>
            </w:tcMar>
            <w:vAlign w:val="center"/>
          </w:tcPr>
          <w:p>
            <w:r>
              <w:rPr>
                <w:rFonts w:ascii="Arial" w:cs="Arial" w:eastAsia="Arial" w:hAnsi="Arial"/>
                <w:b/>
                <w:bCs/>
                <w:color w:val="FFFFFF"/>
                <w:sz w:val="18"/>
                <w:szCs w:val="18"/>
              </w:rPr>
              <w:t xml:space="preserve">Yield Total Anual</w:t>
            </w:r>
          </w:p>
        </w:tc>
        <w:tc>
          <w:tcPr>
            <w:tcW w:type="dxa" w:w="1404"/>
            <w:tcBorders>
              <w:top w:val="single" w:color="3D405B" w:sz="6"/>
              <w:left w:val="single" w:color="3D405B" w:sz="6"/>
              <w:bottom w:val="single" w:color="3D405B" w:sz="6"/>
              <w:right w:val="single" w:color="3D405B" w:sz="6"/>
            </w:tcBorders>
            <w:shd w:fill="3D405B" w:val="clear"/>
            <w:tcMar>
              <w:top w:type="dxa" w:w="100"/>
              <w:left w:type="dxa" w:w="140"/>
              <w:bottom w:type="dxa" w:w="100"/>
              <w:right w:type="dxa" w:w="140"/>
            </w:tcMar>
            <w:vAlign w:val="center"/>
          </w:tcPr>
          <w:p>
            <w:r>
              <w:rPr>
                <w:rFonts w:ascii="Arial" w:cs="Arial" w:eastAsia="Arial" w:hAnsi="Arial"/>
                <w:b/>
                <w:bCs/>
                <w:color w:val="FFFFFF"/>
                <w:sz w:val="18"/>
                <w:szCs w:val="18"/>
              </w:rPr>
              <w:t xml:space="preserve">Aporte R_op (30%)</w:t>
            </w:r>
          </w:p>
        </w:tc>
      </w:tr>
      <w:tr>
        <w:trPr>
          <w:tblHeader w:val="false"/>
        </w:trPr>
        <w:tc>
          <w:tcPr>
            <w:tcW w:type="dxa" w:w="1872"/>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$10M</w:t>
            </w:r>
          </w:p>
        </w:tc>
        <w:tc>
          <w:tcPr>
            <w:tcW w:type="dxa" w:w="2340"/>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$120K–$160K</w:t>
            </w:r>
          </w:p>
        </w:tc>
        <w:tc>
          <w:tcPr>
            <w:tcW w:type="dxa" w:w="2340"/>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$20K–$40K</w:t>
            </w:r>
          </w:p>
        </w:tc>
        <w:tc>
          <w:tcPr>
            <w:tcW w:type="dxa" w:w="1404"/>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$140K–$200K</w:t>
            </w:r>
          </w:p>
        </w:tc>
        <w:tc>
          <w:tcPr>
            <w:tcW w:type="dxa" w:w="1404"/>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$42K–$60K</w:t>
            </w:r>
          </w:p>
        </w:tc>
      </w:tr>
      <w:tr>
        <w:trPr>
          <w:tblHeader w:val="false"/>
        </w:trPr>
        <w:tc>
          <w:tcPr>
            <w:tcW w:type="dxa" w:w="1872"/>
            <w:tcBorders>
              <w:top w:val="single" w:color="DDDDDD" w:sz="6"/>
              <w:left w:val="single" w:color="DDDDDD" w:sz="6"/>
              <w:bottom w:val="single" w:color="DDDDDD" w:sz="6"/>
              <w:right w:val="single" w:color="DDDDDD" w:sz="6"/>
            </w:tcBorders>
            <w:shd w:fill="F8F5E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$25M (K_min)</w:t>
            </w:r>
          </w:p>
        </w:tc>
        <w:tc>
          <w:tcPr>
            <w:tcW w:type="dxa" w:w="2340"/>
            <w:tcBorders>
              <w:top w:val="single" w:color="DDDDDD" w:sz="6"/>
              <w:left w:val="single" w:color="DDDDDD" w:sz="6"/>
              <w:bottom w:val="single" w:color="DDDDDD" w:sz="6"/>
              <w:right w:val="single" w:color="DDDDDD" w:sz="6"/>
            </w:tcBorders>
            <w:shd w:fill="F8F5E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$300K–$400K</w:t>
            </w:r>
          </w:p>
        </w:tc>
        <w:tc>
          <w:tcPr>
            <w:tcW w:type="dxa" w:w="2340"/>
            <w:tcBorders>
              <w:top w:val="single" w:color="DDDDDD" w:sz="6"/>
              <w:left w:val="single" w:color="DDDDDD" w:sz="6"/>
              <w:bottom w:val="single" w:color="DDDDDD" w:sz="6"/>
              <w:right w:val="single" w:color="DDDDDD" w:sz="6"/>
            </w:tcBorders>
            <w:shd w:fill="F8F5E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$50K–$100K</w:t>
            </w:r>
          </w:p>
        </w:tc>
        <w:tc>
          <w:tcPr>
            <w:tcW w:type="dxa" w:w="1404"/>
            <w:tcBorders>
              <w:top w:val="single" w:color="DDDDDD" w:sz="6"/>
              <w:left w:val="single" w:color="DDDDDD" w:sz="6"/>
              <w:bottom w:val="single" w:color="DDDDDD" w:sz="6"/>
              <w:right w:val="single" w:color="DDDDDD" w:sz="6"/>
            </w:tcBorders>
            <w:shd w:fill="F8F5E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$350K–$500K</w:t>
            </w:r>
          </w:p>
        </w:tc>
        <w:tc>
          <w:tcPr>
            <w:tcW w:type="dxa" w:w="1404"/>
            <w:tcBorders>
              <w:top w:val="single" w:color="DDDDDD" w:sz="6"/>
              <w:left w:val="single" w:color="DDDDDD" w:sz="6"/>
              <w:bottom w:val="single" w:color="DDDDDD" w:sz="6"/>
              <w:right w:val="single" w:color="DDDDDD" w:sz="6"/>
            </w:tcBorders>
            <w:shd w:fill="F8F5E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$105K–$150K</w:t>
            </w:r>
          </w:p>
        </w:tc>
      </w:tr>
      <w:tr>
        <w:trPr>
          <w:tblHeader w:val="false"/>
        </w:trPr>
        <w:tc>
          <w:tcPr>
            <w:tcW w:type="dxa" w:w="1872"/>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$50M</w:t>
            </w:r>
          </w:p>
        </w:tc>
        <w:tc>
          <w:tcPr>
            <w:tcW w:type="dxa" w:w="2340"/>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$600K–$800K</w:t>
            </w:r>
          </w:p>
        </w:tc>
        <w:tc>
          <w:tcPr>
            <w:tcW w:type="dxa" w:w="2340"/>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$100K–$200K</w:t>
            </w:r>
          </w:p>
        </w:tc>
        <w:tc>
          <w:tcPr>
            <w:tcW w:type="dxa" w:w="1404"/>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$700K–$1M</w:t>
            </w:r>
          </w:p>
        </w:tc>
        <w:tc>
          <w:tcPr>
            <w:tcW w:type="dxa" w:w="1404"/>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$210K–$300K</w:t>
            </w:r>
          </w:p>
        </w:tc>
      </w:tr>
    </w:tbl>
    <w:p>
      <w:pPr>
        <w:spacing w:before="80" w:after="0"/>
      </w:pPr>
      <w:r>
        <w:t xml:space="preserve"/>
      </w:r>
    </w:p>
    <w:p>
      <w:pPr>
        <w:spacing w:before="200" w:after="60"/>
      </w:pPr>
      <w:r>
        <w:rPr>
          <w:rFonts w:ascii="Arial" w:cs="Arial" w:eastAsia="Arial" w:hAnsi="Arial"/>
          <w:b/>
          <w:bCs/>
          <w:color w:val="3D405B"/>
          <w:sz w:val="22"/>
          <w:szCs w:val="22"/>
        </w:rPr>
        <w:t xml:space="preserve">5.5 Fuente Adicional — Distribución Perpetua (Mes 13+)</w:t>
      </w:r>
    </w:p>
    <w:p>
      <w:pPr>
        <w:spacing w:before="60" w:after="80"/>
      </w:pPr>
      <w:r>
        <w:rPr>
          <w:rFonts w:ascii="Arial" w:cs="Arial" w:eastAsia="Arial" w:hAnsi="Arial"/>
          <w:color w:val="1A1A2E"/>
          <w:sz w:val="20"/>
          <w:szCs w:val="20"/>
        </w:rPr>
        <w:t xml:space="preserve">A partir del hito de activación del Jaguar Lock (K_min $30M o 12 meses transcurridos), el 30% de los fees destinados al componente KASH Sociedad se vuelven líquidos y directos a perpetuidad — flujo de caja constante respaldado por utilidad real, sin dilución de los socios fundadores.</w:t>
      </w:r>
    </w:p>
    <w:p>
      <w:pPr>
        <w:spacing w:before="80" w:after="0"/>
      </w:pPr>
      <w:r>
        <w:t xml:space="preserve"/>
      </w:r>
    </w:p>
    <w:p>
      <w:pPr>
        <w:pStyle w:val="Heading2"/>
        <w:pBdr>
          <w:bottom w:val="single" w:color="C9A84C" w:sz="4" w:space="2"/>
        </w:pBdr>
        <w:spacing w:before="280" w:after="100"/>
      </w:pPr>
      <w:r>
        <w:rPr>
          <w:rFonts w:ascii="Arial" w:cs="Arial" w:eastAsia="Arial" w:hAnsi="Arial"/>
          <w:b/>
          <w:bCs/>
          <w:color w:val="2D6A4F"/>
          <w:sz w:val="26"/>
          <w:szCs w:val="26"/>
        </w:rPr>
        <w:t xml:space="preserve">6. ACTIVIDADES CLAVE</w:t>
      </w:r>
    </w:p>
    <w:p>
      <w:pPr>
        <w:spacing w:before="0" w:after="80"/>
      </w:pPr>
      <w:r>
        <w:rPr>
          <w:rFonts w:ascii="Arial" w:cs="Arial" w:eastAsia="Arial" w:hAnsi="Arial"/>
          <w:b/>
          <w:bCs/>
          <w:caps/>
          <w:color w:val="C9A84C"/>
          <w:sz w:val="18"/>
          <w:szCs w:val="18"/>
        </w:rPr>
        <w:t xml:space="preserve">Orquestación de Estados · Gestión del Vault · Jaguar Shield</w:t>
      </w:r>
    </w:p>
    <w:p>
      <w:pPr>
        <w:spacing w:before="60" w:after="0"/>
      </w:pPr>
      <w:r>
        <w:t xml:space="preserve"/>
      </w:r>
    </w:p>
    <w:p>
      <w:pPr>
        <w:spacing w:before="200" w:after="60"/>
      </w:pPr>
      <w:r>
        <w:rPr>
          <w:rFonts w:ascii="Arial" w:cs="Arial" w:eastAsia="Arial" w:hAnsi="Arial"/>
          <w:b/>
          <w:bCs/>
          <w:color w:val="3D405B"/>
          <w:sz w:val="22"/>
          <w:szCs w:val="22"/>
        </w:rPr>
        <w:t xml:space="preserve">6.1 Orquestación de Estados B0/B2 por LUKAI v3.1</w:t>
      </w:r>
    </w:p>
    <w:p>
      <w:pPr>
        <w:spacing w:before="60" w:after="80"/>
      </w:pPr>
      <w:r>
        <w:rPr>
          <w:rFonts w:ascii="Arial" w:cs="Arial" w:eastAsia="Arial" w:hAnsi="Arial"/>
          <w:color w:val="1A1A2E"/>
          <w:sz w:val="20"/>
          <w:szCs w:val="20"/>
        </w:rPr>
        <w:t xml:space="preserve">LUKAI v3.1 es el orquestador de estados del protocolo. Monitorea K(t) vía Pyth Network en tiempo real y conmuta automáticamente entre el modo B0 (quema directa pre-hito) y B2 (dispersión plena con compensación post-hito K_min = $25M). Esta actividad es el núcleo de la estabilidad del protocolo.</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3D405B" w:sz="6"/>
              <w:left w:val="single" w:color="3D405B" w:sz="6"/>
              <w:bottom w:val="single" w:color="3D405B" w:sz="6"/>
              <w:right w:val="single" w:color="3D405B" w:sz="6"/>
            </w:tcBorders>
            <w:shd w:fill="3D405B" w:val="clear"/>
            <w:tcMar>
              <w:top w:type="dxa" w:w="100"/>
              <w:left w:type="dxa" w:w="140"/>
              <w:bottom w:type="dxa" w:w="100"/>
              <w:right w:type="dxa" w:w="140"/>
            </w:tcMar>
            <w:vAlign w:val="center"/>
          </w:tcPr>
          <w:p>
            <w:r>
              <w:rPr>
                <w:rFonts w:ascii="Arial" w:cs="Arial" w:eastAsia="Arial" w:hAnsi="Arial"/>
                <w:b/>
                <w:bCs/>
                <w:color w:val="FFFFFF"/>
                <w:sz w:val="18"/>
                <w:szCs w:val="18"/>
              </w:rPr>
              <w:t xml:space="preserve">Función LUKAI</w:t>
            </w:r>
          </w:p>
        </w:tc>
        <w:tc>
          <w:tcPr>
            <w:tcW w:type="dxa" w:w="6240"/>
            <w:tcBorders>
              <w:top w:val="single" w:color="3D405B" w:sz="6"/>
              <w:left w:val="single" w:color="3D405B" w:sz="6"/>
              <w:bottom w:val="single" w:color="3D405B" w:sz="6"/>
              <w:right w:val="single" w:color="3D405B" w:sz="6"/>
            </w:tcBorders>
            <w:shd w:fill="3D405B" w:val="clear"/>
            <w:tcMar>
              <w:top w:type="dxa" w:w="100"/>
              <w:left w:type="dxa" w:w="140"/>
              <w:bottom w:type="dxa" w:w="100"/>
              <w:right w:type="dxa" w:w="140"/>
            </w:tcMar>
            <w:vAlign w:val="center"/>
          </w:tcPr>
          <w:p>
            <w:r>
              <w:rPr>
                <w:rFonts w:ascii="Arial" w:cs="Arial" w:eastAsia="Arial" w:hAnsi="Arial"/>
                <w:b/>
                <w:bCs/>
                <w:color w:val="FFFFFF"/>
                <w:sz w:val="18"/>
                <w:szCs w:val="18"/>
              </w:rPr>
              <w:t xml:space="preserve">Descripción Técnica</w:t>
            </w:r>
          </w:p>
        </w:tc>
      </w:tr>
      <w:tr>
        <w:trPr>
          <w:tblHeader w:val="false"/>
        </w:trPr>
        <w:tc>
          <w:tcPr>
            <w:tcW w:type="dxa" w:w="3120"/>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Conmutación B0 ↔ B2</w:t>
            </w:r>
          </w:p>
        </w:tc>
        <w:tc>
          <w:tcPr>
            <w:tcW w:type="dxa" w:w="6240"/>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Monitoreo de K(t) en tiempo real vía Pyth. Conmutación automática al cruzar K_min = $25M. Sin intervención humana.</w:t>
            </w:r>
          </w:p>
        </w:tc>
      </w:tr>
      <w:tr>
        <w:trPr>
          <w:tblHeader w:val="false"/>
        </w:trPr>
        <w:tc>
          <w:tcPr>
            <w:tcW w:type="dxa" w:w="3120"/>
            <w:tcBorders>
              <w:top w:val="single" w:color="DDDDDD" w:sz="6"/>
              <w:left w:val="single" w:color="DDDDDD" w:sz="6"/>
              <w:bottom w:val="single" w:color="DDDDDD" w:sz="6"/>
              <w:right w:val="single" w:color="DDDDDD" w:sz="6"/>
            </w:tcBorders>
            <w:shd w:fill="F8F5E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Gestión de Swaps Externos</w:t>
            </w:r>
          </w:p>
        </w:tc>
        <w:tc>
          <w:tcPr>
            <w:tcW w:type="dxa" w:w="6240"/>
            <w:tcBorders>
              <w:top w:val="single" w:color="DDDDDD" w:sz="6"/>
              <w:left w:val="single" w:color="DDDDDD" w:sz="6"/>
              <w:bottom w:val="single" w:color="DDDDDD" w:sz="6"/>
              <w:right w:val="single" w:color="DDDDDD" w:sz="6"/>
            </w:tcBorders>
            <w:shd w:fill="F8F5E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Motor D: cuando recibe activos externos (SOL/USDC), LUKAI invoca Motor A o C para swap a $LUKA antes de distribuir.</w:t>
            </w:r>
          </w:p>
        </w:tc>
      </w:tr>
      <w:tr>
        <w:trPr>
          <w:tblHeader w:val="false"/>
        </w:trPr>
        <w:tc>
          <w:tcPr>
            <w:tcW w:type="dxa" w:w="3120"/>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Rebalanceo del Vault</w:t>
            </w:r>
          </w:p>
        </w:tc>
        <w:tc>
          <w:tcPr>
            <w:tcW w:type="dxa" w:w="6240"/>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Compra gradual de Hard Assets (cBTC, SOL/LST) con el 35% del Asset Layer del Motor B. El Vault existente no se toca.</w:t>
            </w:r>
          </w:p>
        </w:tc>
      </w:tr>
      <w:tr>
        <w:trPr>
          <w:tblHeader w:val="false"/>
        </w:trPr>
        <w:tc>
          <w:tcPr>
            <w:tcW w:type="dxa" w:w="3120"/>
            <w:tcBorders>
              <w:top w:val="single" w:color="DDDDDD" w:sz="6"/>
              <w:left w:val="single" w:color="DDDDDD" w:sz="6"/>
              <w:bottom w:val="single" w:color="DDDDDD" w:sz="6"/>
              <w:right w:val="single" w:color="DDDDDD" w:sz="6"/>
            </w:tcBorders>
            <w:shd w:fill="F8F5E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Calibración Jaguar Score</w:t>
            </w:r>
          </w:p>
        </w:tc>
        <w:tc>
          <w:tcPr>
            <w:tcW w:type="dxa" w:w="6240"/>
            <w:tcBorders>
              <w:top w:val="single" w:color="DDDDDD" w:sz="6"/>
              <w:left w:val="single" w:color="DDDDDD" w:sz="6"/>
              <w:bottom w:val="single" w:color="DDDDDD" w:sz="6"/>
              <w:right w:val="single" w:color="DDDDDD" w:sz="6"/>
            </w:tcBorders>
            <w:shd w:fill="F8F5E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Actualización en tiempo real del Jaguar Score según participación en Motor D (Manadas, apuestas, eventos). cNFT DeFi exentos.</w:t>
            </w:r>
          </w:p>
        </w:tc>
      </w:tr>
      <w:tr>
        <w:trPr>
          <w:tblHeader w:val="false"/>
        </w:trPr>
        <w:tc>
          <w:tcPr>
            <w:tcW w:type="dxa" w:w="3120"/>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Throttle Dinámico</w:t>
            </w:r>
          </w:p>
        </w:tc>
        <w:tc>
          <w:tcPr>
            <w:tcW w:type="dxa" w:w="6240"/>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Gestión automática de modos ACELERADO/NORMAL/CONSERVADOR/DEFENSIVO según P_m vs EMA30 vía Pyth Network.</w:t>
            </w:r>
          </w:p>
        </w:tc>
      </w:tr>
      <w:tr>
        <w:trPr>
          <w:tblHeader w:val="false"/>
        </w:trPr>
        <w:tc>
          <w:tcPr>
            <w:tcW w:type="dxa" w:w="3120"/>
            <w:tcBorders>
              <w:top w:val="single" w:color="DDDDDD" w:sz="6"/>
              <w:left w:val="single" w:color="DDDDDD" w:sz="6"/>
              <w:bottom w:val="single" w:color="DDDDDD" w:sz="6"/>
              <w:right w:val="single" w:color="DDDDDD" w:sz="6"/>
            </w:tcBorders>
            <w:shd w:fill="F8F5E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Módulo Contra-Cíclico</w:t>
            </w:r>
          </w:p>
        </w:tc>
        <w:tc>
          <w:tcPr>
            <w:tcW w:type="dxa" w:w="6240"/>
            <w:tcBorders>
              <w:top w:val="single" w:color="DDDDDD" w:sz="6"/>
              <w:left w:val="single" w:color="DDDDDD" w:sz="6"/>
              <w:bottom w:val="single" w:color="DDDDDD" w:sz="6"/>
              <w:right w:val="single" w:color="DDDDDD" w:sz="6"/>
            </w:tcBorders>
            <w:shd w:fill="F8F5E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Detecta régimen de mercado (EMA30 vs EMA90 BTC + volatilidad 30d + volumen Motor A 7d). Dirige flujo de NUEVAS ENTRADAS.</w:t>
            </w:r>
          </w:p>
        </w:tc>
      </w:tr>
      <w:tr>
        <w:trPr>
          <w:tblHeader w:val="false"/>
        </w:trPr>
        <w:tc>
          <w:tcPr>
            <w:tcW w:type="dxa" w:w="3120"/>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Monitor de Paridad LSTs</w:t>
            </w:r>
          </w:p>
        </w:tc>
        <w:tc>
          <w:tcPr>
            <w:tcW w:type="dxa" w:w="6240"/>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Vigila peg JitoSOL/mSOL vía Sanctum. Si desviación &gt;3% vs SOL nativo, bloquea conversiones para proteger principal.</w:t>
            </w:r>
          </w:p>
        </w:tc>
      </w:tr>
    </w:tbl>
    <w:p>
      <w:pPr>
        <w:spacing w:before="80" w:after="0"/>
      </w:pPr>
      <w:r>
        <w:t xml:space="preserve"/>
      </w:r>
    </w:p>
    <w:p>
      <w:pPr>
        <w:spacing w:before="200" w:after="60"/>
      </w:pPr>
      <w:r>
        <w:rPr>
          <w:rFonts w:ascii="Arial" w:cs="Arial" w:eastAsia="Arial" w:hAnsi="Arial"/>
          <w:b/>
          <w:bCs/>
          <w:color w:val="3D405B"/>
          <w:sz w:val="22"/>
          <w:szCs w:val="22"/>
        </w:rPr>
        <w:t xml:space="preserve">6.2 Gestión Algorítmica de la Reserva Soberana</w:t>
      </w:r>
    </w:p>
    <w:p>
      <w:pPr>
        <w:spacing w:before="60" w:after="80"/>
      </w:pPr>
      <w:r>
        <w:rPr>
          <w:rFonts w:ascii="Arial" w:cs="Arial" w:eastAsia="Arial" w:hAnsi="Arial"/>
          <w:color w:val="1A1A2E"/>
          <w:sz w:val="20"/>
          <w:szCs w:val="20"/>
        </w:rPr>
        <w:t xml:space="preserve">La composición del Vault KASH Core v3.1 es 100% Solana-nativa. La gestión es algorítmica: LUKAI dirige el flujo de nuevas entradas según el régimen de mercado detectado, sin rebalancear activos existentes.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2D6A4F" w:sz="6"/>
              <w:left w:val="single" w:color="2D6A4F" w:sz="6"/>
              <w:bottom w:val="single" w:color="2D6A4F" w:sz="6"/>
              <w:right w:val="single" w:color="2D6A4F" w:sz="6"/>
            </w:tcBorders>
            <w:shd w:fill="2D6A4F" w:val="clear"/>
            <w:tcMar>
              <w:top w:type="dxa" w:w="100"/>
              <w:left w:type="dxa" w:w="140"/>
              <w:bottom w:type="dxa" w:w="100"/>
              <w:right w:type="dxa" w:w="140"/>
            </w:tcMar>
            <w:vAlign w:val="center"/>
          </w:tcPr>
          <w:p>
            <w:r>
              <w:rPr>
                <w:rFonts w:ascii="Arial" w:cs="Arial" w:eastAsia="Arial" w:hAnsi="Arial"/>
                <w:b/>
                <w:bCs/>
                <w:color w:val="FFFFFF"/>
                <w:sz w:val="18"/>
                <w:szCs w:val="18"/>
              </w:rPr>
              <w:t xml:space="preserve">Régimen de Mercado</w:t>
            </w:r>
          </w:p>
        </w:tc>
        <w:tc>
          <w:tcPr>
            <w:tcW w:type="dxa" w:w="2340"/>
            <w:tcBorders>
              <w:top w:val="single" w:color="2D6A4F" w:sz="6"/>
              <w:left w:val="single" w:color="2D6A4F" w:sz="6"/>
              <w:bottom w:val="single" w:color="2D6A4F" w:sz="6"/>
              <w:right w:val="single" w:color="2D6A4F" w:sz="6"/>
            </w:tcBorders>
            <w:shd w:fill="2D6A4F" w:val="clear"/>
            <w:tcMar>
              <w:top w:type="dxa" w:w="100"/>
              <w:left w:type="dxa" w:w="140"/>
              <w:bottom w:type="dxa" w:w="100"/>
              <w:right w:type="dxa" w:w="140"/>
            </w:tcMar>
            <w:vAlign w:val="center"/>
          </w:tcPr>
          <w:p>
            <w:r>
              <w:rPr>
                <w:rFonts w:ascii="Arial" w:cs="Arial" w:eastAsia="Arial" w:hAnsi="Arial"/>
                <w:b/>
                <w:bCs/>
                <w:color w:val="FFFFFF"/>
                <w:sz w:val="18"/>
                <w:szCs w:val="18"/>
              </w:rPr>
              <w:t xml:space="preserve">Activos Volátiles (nuevas entradas)</w:t>
            </w:r>
          </w:p>
        </w:tc>
        <w:tc>
          <w:tcPr>
            <w:tcW w:type="dxa" w:w="2340"/>
            <w:tcBorders>
              <w:top w:val="single" w:color="2D6A4F" w:sz="6"/>
              <w:left w:val="single" w:color="2D6A4F" w:sz="6"/>
              <w:bottom w:val="single" w:color="2D6A4F" w:sz="6"/>
              <w:right w:val="single" w:color="2D6A4F" w:sz="6"/>
            </w:tcBorders>
            <w:shd w:fill="2D6A4F" w:val="clear"/>
            <w:tcMar>
              <w:top w:type="dxa" w:w="100"/>
              <w:left w:type="dxa" w:w="140"/>
              <w:bottom w:type="dxa" w:w="100"/>
              <w:right w:type="dxa" w:w="140"/>
            </w:tcMar>
            <w:vAlign w:val="center"/>
          </w:tcPr>
          <w:p>
            <w:r>
              <w:rPr>
                <w:rFonts w:ascii="Arial" w:cs="Arial" w:eastAsia="Arial" w:hAnsi="Arial"/>
                <w:b/>
                <w:bCs/>
                <w:color w:val="FFFFFF"/>
                <w:sz w:val="18"/>
                <w:szCs w:val="18"/>
              </w:rPr>
              <w:t xml:space="preserve">USDC (nuevas entradas)</w:t>
            </w:r>
          </w:p>
        </w:tc>
        <w:tc>
          <w:tcPr>
            <w:tcW w:type="dxa" w:w="2340"/>
            <w:tcBorders>
              <w:top w:val="single" w:color="2D6A4F" w:sz="6"/>
              <w:left w:val="single" w:color="2D6A4F" w:sz="6"/>
              <w:bottom w:val="single" w:color="2D6A4F" w:sz="6"/>
              <w:right w:val="single" w:color="2D6A4F" w:sz="6"/>
            </w:tcBorders>
            <w:shd w:fill="2D6A4F" w:val="clear"/>
            <w:tcMar>
              <w:top w:type="dxa" w:w="100"/>
              <w:left w:type="dxa" w:w="140"/>
              <w:bottom w:type="dxa" w:w="100"/>
              <w:right w:type="dxa" w:w="140"/>
            </w:tcMar>
            <w:vAlign w:val="center"/>
          </w:tcPr>
          <w:p>
            <w:r>
              <w:rPr>
                <w:rFonts w:ascii="Arial" w:cs="Arial" w:eastAsia="Arial" w:hAnsi="Arial"/>
                <w:b/>
                <w:bCs/>
                <w:color w:val="FFFFFF"/>
                <w:sz w:val="18"/>
                <w:szCs w:val="18"/>
              </w:rPr>
              <w:t xml:space="preserve">Lógica Estratégica</w:t>
            </w:r>
          </w:p>
        </w:tc>
      </w:tr>
      <w:tr>
        <w:trPr>
          <w:tblHeader w:val="false"/>
        </w:trPr>
        <w:tc>
          <w:tcPr>
            <w:tcW w:type="dxa" w:w="2340"/>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BEAR Confirmado</w:t>
            </w:r>
          </w:p>
        </w:tc>
        <w:tc>
          <w:tcPr>
            <w:tcW w:type="dxa" w:w="2340"/>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70%</w:t>
            </w:r>
          </w:p>
        </w:tc>
        <w:tc>
          <w:tcPr>
            <w:tcW w:type="dxa" w:w="2340"/>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30%</w:t>
            </w:r>
          </w:p>
        </w:tc>
        <w:tc>
          <w:tcPr>
            <w:tcW w:type="dxa" w:w="2340"/>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Acumulación contra-cíclica — compra activos duros baratos.</w:t>
            </w:r>
          </w:p>
        </w:tc>
      </w:tr>
      <w:tr>
        <w:trPr>
          <w:tblHeader w:val="false"/>
        </w:trPr>
        <w:tc>
          <w:tcPr>
            <w:tcW w:type="dxa" w:w="2340"/>
            <w:tcBorders>
              <w:top w:val="single" w:color="DDDDDD" w:sz="6"/>
              <w:left w:val="single" w:color="DDDDDD" w:sz="6"/>
              <w:bottom w:val="single" w:color="DDDDDD" w:sz="6"/>
              <w:right w:val="single" w:color="DDDDDD" w:sz="6"/>
            </w:tcBorders>
            <w:shd w:fill="F8F5E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NEUTRAL</w:t>
            </w:r>
          </w:p>
        </w:tc>
        <w:tc>
          <w:tcPr>
            <w:tcW w:type="dxa" w:w="2340"/>
            <w:tcBorders>
              <w:top w:val="single" w:color="DDDDDD" w:sz="6"/>
              <w:left w:val="single" w:color="DDDDDD" w:sz="6"/>
              <w:bottom w:val="single" w:color="DDDDDD" w:sz="6"/>
              <w:right w:val="single" w:color="DDDDDD" w:sz="6"/>
            </w:tcBorders>
            <w:shd w:fill="F8F5E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75%</w:t>
            </w:r>
          </w:p>
        </w:tc>
        <w:tc>
          <w:tcPr>
            <w:tcW w:type="dxa" w:w="2340"/>
            <w:tcBorders>
              <w:top w:val="single" w:color="DDDDDD" w:sz="6"/>
              <w:left w:val="single" w:color="DDDDDD" w:sz="6"/>
              <w:bottom w:val="single" w:color="DDDDDD" w:sz="6"/>
              <w:right w:val="single" w:color="DDDDDD" w:sz="6"/>
            </w:tcBorders>
            <w:shd w:fill="F8F5E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25%</w:t>
            </w:r>
          </w:p>
        </w:tc>
        <w:tc>
          <w:tcPr>
            <w:tcW w:type="dxa" w:w="2340"/>
            <w:tcBorders>
              <w:top w:val="single" w:color="DDDDDD" w:sz="6"/>
              <w:left w:val="single" w:color="DDDDDD" w:sz="6"/>
              <w:bottom w:val="single" w:color="DDDDDD" w:sz="6"/>
              <w:right w:val="single" w:color="DDDDDD" w:sz="6"/>
            </w:tcBorders>
            <w:shd w:fill="F8F5E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Proporción estándar. Sin sesgo direccional.</w:t>
            </w:r>
          </w:p>
        </w:tc>
      </w:tr>
      <w:tr>
        <w:trPr>
          <w:tblHeader w:val="false"/>
        </w:trPr>
        <w:tc>
          <w:tcPr>
            <w:tcW w:type="dxa" w:w="2340"/>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BULL Confirmado</w:t>
            </w:r>
          </w:p>
        </w:tc>
        <w:tc>
          <w:tcPr>
            <w:tcW w:type="dxa" w:w="2340"/>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40%</w:t>
            </w:r>
          </w:p>
        </w:tc>
        <w:tc>
          <w:tcPr>
            <w:tcW w:type="dxa" w:w="2340"/>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60%</w:t>
            </w:r>
          </w:p>
        </w:tc>
        <w:tc>
          <w:tcPr>
            <w:tcW w:type="dxa" w:w="2340"/>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Construcción de liquidez USDC para el próximo ciclo bear.</w:t>
            </w:r>
          </w:p>
        </w:tc>
      </w:tr>
    </w:tbl>
    <w:p>
      <w:pPr>
        <w:spacing w:before="40" w:after="0"/>
      </w:pPr>
      <w:r>
        <w:t xml:space="preserve"/>
      </w:r>
    </w:p>
    <w:p>
      <w:pPr>
        <w:spacing w:before="60" w:after="80"/>
      </w:pPr>
      <w:r>
        <w:rPr>
          <w:rFonts w:ascii="Arial" w:cs="Arial" w:eastAsia="Arial" w:hAnsi="Arial"/>
          <w:i/>
          <w:iCs/>
          <w:color w:val="666666"/>
          <w:sz w:val="17"/>
          <w:szCs w:val="17"/>
        </w:rPr>
        <w:t xml:space="preserve">Resultado validado en simulación: el módulo contra-cíclico genera +22–23% de ventaja en el Vault final vs. proporciones fijas en un ciclo completo BEAR→BULL de 4 años.</w:t>
      </w:r>
    </w:p>
    <w:p>
      <w:pPr>
        <w:spacing w:before="80" w:after="0"/>
      </w:pPr>
      <w:r>
        <w:t xml:space="preserve"/>
      </w:r>
    </w:p>
    <w:p>
      <w:pPr>
        <w:spacing w:before="200" w:after="60"/>
      </w:pPr>
      <w:r>
        <w:rPr>
          <w:rFonts w:ascii="Arial" w:cs="Arial" w:eastAsia="Arial" w:hAnsi="Arial"/>
          <w:b/>
          <w:bCs/>
          <w:color w:val="3D405B"/>
          <w:sz w:val="22"/>
          <w:szCs w:val="22"/>
        </w:rPr>
        <w:t xml:space="preserve">6.3 Jaguar Shield LP — Prevención de Espirales de Muerte</w:t>
      </w:r>
    </w:p>
    <w:p>
      <w:pPr>
        <w:spacing w:before="60" w:after="80"/>
      </w:pPr>
      <w:r>
        <w:rPr>
          <w:rFonts w:ascii="Arial" w:cs="Arial" w:eastAsia="Arial" w:hAnsi="Arial"/>
          <w:color w:val="1A1A2E"/>
          <w:sz w:val="20"/>
          <w:szCs w:val="20"/>
        </w:rPr>
        <w:t xml:space="preserve">El Jaguar Shield LP protege el Pool de Liquidez mediante dos mecanismos complementarios: el sistema de LP Comprometido (incentivos proactivos por lock voluntario) y el Circuit Breaker automático (frenos reactivos ante retiros masivos).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84"/>
        <w:gridCol w:w="1404"/>
        <w:gridCol w:w="1872"/>
        <w:gridCol w:w="2184"/>
        <w:gridCol w:w="1716"/>
      </w:tblGrid>
      <w:tr>
        <w:trPr>
          <w:tblHeader/>
        </w:trPr>
        <w:tc>
          <w:tcPr>
            <w:tcW w:type="dxa" w:w="2184"/>
            <w:tcBorders>
              <w:top w:val="single" w:color="3D405B" w:sz="6"/>
              <w:left w:val="single" w:color="3D405B" w:sz="6"/>
              <w:bottom w:val="single" w:color="3D405B" w:sz="6"/>
              <w:right w:val="single" w:color="3D405B" w:sz="6"/>
            </w:tcBorders>
            <w:shd w:fill="3D405B" w:val="clear"/>
            <w:tcMar>
              <w:top w:type="dxa" w:w="100"/>
              <w:left w:type="dxa" w:w="140"/>
              <w:bottom w:type="dxa" w:w="100"/>
              <w:right w:type="dxa" w:w="140"/>
            </w:tcMar>
            <w:vAlign w:val="center"/>
          </w:tcPr>
          <w:p>
            <w:r>
              <w:rPr>
                <w:rFonts w:ascii="Arial" w:cs="Arial" w:eastAsia="Arial" w:hAnsi="Arial"/>
                <w:b/>
                <w:bCs/>
                <w:color w:val="FFFFFF"/>
                <w:sz w:val="18"/>
                <w:szCs w:val="18"/>
              </w:rPr>
              <w:t xml:space="preserve">Nivel LP</w:t>
            </w:r>
          </w:p>
        </w:tc>
        <w:tc>
          <w:tcPr>
            <w:tcW w:type="dxa" w:w="1404"/>
            <w:tcBorders>
              <w:top w:val="single" w:color="3D405B" w:sz="6"/>
              <w:left w:val="single" w:color="3D405B" w:sz="6"/>
              <w:bottom w:val="single" w:color="3D405B" w:sz="6"/>
              <w:right w:val="single" w:color="3D405B" w:sz="6"/>
            </w:tcBorders>
            <w:shd w:fill="3D405B" w:val="clear"/>
            <w:tcMar>
              <w:top w:type="dxa" w:w="100"/>
              <w:left w:type="dxa" w:w="140"/>
              <w:bottom w:type="dxa" w:w="100"/>
              <w:right w:type="dxa" w:w="140"/>
            </w:tcMar>
            <w:vAlign w:val="center"/>
          </w:tcPr>
          <w:p>
            <w:r>
              <w:rPr>
                <w:rFonts w:ascii="Arial" w:cs="Arial" w:eastAsia="Arial" w:hAnsi="Arial"/>
                <w:b/>
                <w:bCs/>
                <w:color w:val="FFFFFF"/>
                <w:sz w:val="18"/>
                <w:szCs w:val="18"/>
              </w:rPr>
              <w:t xml:space="preserve">Lock Voluntario</w:t>
            </w:r>
          </w:p>
        </w:tc>
        <w:tc>
          <w:tcPr>
            <w:tcW w:type="dxa" w:w="1872"/>
            <w:tcBorders>
              <w:top w:val="single" w:color="3D405B" w:sz="6"/>
              <w:left w:val="single" w:color="3D405B" w:sz="6"/>
              <w:bottom w:val="single" w:color="3D405B" w:sz="6"/>
              <w:right w:val="single" w:color="3D405B" w:sz="6"/>
            </w:tcBorders>
            <w:shd w:fill="3D405B" w:val="clear"/>
            <w:tcMar>
              <w:top w:type="dxa" w:w="100"/>
              <w:left w:type="dxa" w:w="140"/>
              <w:bottom w:type="dxa" w:w="100"/>
              <w:right w:type="dxa" w:w="140"/>
            </w:tcMar>
            <w:vAlign w:val="center"/>
          </w:tcPr>
          <w:p>
            <w:r>
              <w:rPr>
                <w:rFonts w:ascii="Arial" w:cs="Arial" w:eastAsia="Arial" w:hAnsi="Arial"/>
                <w:b/>
                <w:bCs/>
                <w:color w:val="FFFFFF"/>
                <w:sz w:val="18"/>
                <w:szCs w:val="18"/>
              </w:rPr>
              <w:t xml:space="preserve">Reward Base</w:t>
            </w:r>
          </w:p>
        </w:tc>
        <w:tc>
          <w:tcPr>
            <w:tcW w:type="dxa" w:w="2184"/>
            <w:tcBorders>
              <w:top w:val="single" w:color="3D405B" w:sz="6"/>
              <w:left w:val="single" w:color="3D405B" w:sz="6"/>
              <w:bottom w:val="single" w:color="3D405B" w:sz="6"/>
              <w:right w:val="single" w:color="3D405B" w:sz="6"/>
            </w:tcBorders>
            <w:shd w:fill="3D405B" w:val="clear"/>
            <w:tcMar>
              <w:top w:type="dxa" w:w="100"/>
              <w:left w:type="dxa" w:w="140"/>
              <w:bottom w:type="dxa" w:w="100"/>
              <w:right w:type="dxa" w:w="140"/>
            </w:tcMar>
            <w:vAlign w:val="center"/>
          </w:tcPr>
          <w:p>
            <w:r>
              <w:rPr>
                <w:rFonts w:ascii="Arial" w:cs="Arial" w:eastAsia="Arial" w:hAnsi="Arial"/>
                <w:b/>
                <w:bCs/>
                <w:color w:val="FFFFFF"/>
                <w:sz w:val="18"/>
                <w:szCs w:val="18"/>
              </w:rPr>
              <w:t xml:space="preserve">Reward Adicional</w:t>
            </w:r>
          </w:p>
        </w:tc>
        <w:tc>
          <w:tcPr>
            <w:tcW w:type="dxa" w:w="1716"/>
            <w:tcBorders>
              <w:top w:val="single" w:color="3D405B" w:sz="6"/>
              <w:left w:val="single" w:color="3D405B" w:sz="6"/>
              <w:bottom w:val="single" w:color="3D405B" w:sz="6"/>
              <w:right w:val="single" w:color="3D405B" w:sz="6"/>
            </w:tcBorders>
            <w:shd w:fill="3D405B" w:val="clear"/>
            <w:tcMar>
              <w:top w:type="dxa" w:w="100"/>
              <w:left w:type="dxa" w:w="140"/>
              <w:bottom w:type="dxa" w:w="100"/>
              <w:right w:type="dxa" w:w="140"/>
            </w:tcMar>
            <w:vAlign w:val="center"/>
          </w:tcPr>
          <w:p>
            <w:r>
              <w:rPr>
                <w:rFonts w:ascii="Arial" w:cs="Arial" w:eastAsia="Arial" w:hAnsi="Arial"/>
                <w:b/>
                <w:bCs/>
                <w:color w:val="FFFFFF"/>
                <w:sz w:val="18"/>
                <w:szCs w:val="18"/>
              </w:rPr>
              <w:t xml:space="preserve">Resultado</w:t>
            </w:r>
          </w:p>
        </w:tc>
      </w:tr>
      <w:tr>
        <w:trPr>
          <w:tblHeader w:val="false"/>
        </w:trPr>
        <w:tc>
          <w:tcPr>
            <w:tcW w:type="dxa" w:w="2184"/>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LP Básico</w:t>
            </w:r>
          </w:p>
        </w:tc>
        <w:tc>
          <w:tcPr>
            <w:tcW w:type="dxa" w:w="1404"/>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Sin lock</w:t>
            </w:r>
          </w:p>
        </w:tc>
        <w:tc>
          <w:tcPr>
            <w:tcW w:type="dxa" w:w="1872"/>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35% fee estándar</w:t>
            </w:r>
          </w:p>
        </w:tc>
        <w:tc>
          <w:tcPr>
            <w:tcW w:type="dxa" w:w="2184"/>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w:t>
            </w:r>
          </w:p>
        </w:tc>
        <w:tc>
          <w:tcPr>
            <w:tcW w:type="dxa" w:w="1716"/>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Retiro inmediato disponible</w:t>
            </w:r>
          </w:p>
        </w:tc>
      </w:tr>
      <w:tr>
        <w:trPr>
          <w:tblHeader w:val="false"/>
        </w:trPr>
        <w:tc>
          <w:tcPr>
            <w:tcW w:type="dxa" w:w="2184"/>
            <w:tcBorders>
              <w:top w:val="single" w:color="DDDDDD" w:sz="6"/>
              <w:left w:val="single" w:color="DDDDDD" w:sz="6"/>
              <w:bottom w:val="single" w:color="DDDDDD" w:sz="6"/>
              <w:right w:val="single" w:color="DDDDDD" w:sz="6"/>
            </w:tcBorders>
            <w:shd w:fill="F8F5E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LP Comprometido 30d</w:t>
            </w:r>
          </w:p>
        </w:tc>
        <w:tc>
          <w:tcPr>
            <w:tcW w:type="dxa" w:w="1404"/>
            <w:tcBorders>
              <w:top w:val="single" w:color="DDDDDD" w:sz="6"/>
              <w:left w:val="single" w:color="DDDDDD" w:sz="6"/>
              <w:bottom w:val="single" w:color="DDDDDD" w:sz="6"/>
              <w:right w:val="single" w:color="DDDDDD" w:sz="6"/>
            </w:tcBorders>
            <w:shd w:fill="F8F5E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30 días</w:t>
            </w:r>
          </w:p>
        </w:tc>
        <w:tc>
          <w:tcPr>
            <w:tcW w:type="dxa" w:w="1872"/>
            <w:tcBorders>
              <w:top w:val="single" w:color="DDDDDD" w:sz="6"/>
              <w:left w:val="single" w:color="DDDDDD" w:sz="6"/>
              <w:bottom w:val="single" w:color="DDDDDD" w:sz="6"/>
              <w:right w:val="single" w:color="DDDDDD" w:sz="6"/>
            </w:tcBorders>
            <w:shd w:fill="F8F5E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35% fee estándar</w:t>
            </w:r>
          </w:p>
        </w:tc>
        <w:tc>
          <w:tcPr>
            <w:tcW w:type="dxa" w:w="2184"/>
            <w:tcBorders>
              <w:top w:val="single" w:color="DDDDDD" w:sz="6"/>
              <w:left w:val="single" w:color="DDDDDD" w:sz="6"/>
              <w:bottom w:val="single" w:color="DDDDDD" w:sz="6"/>
              <w:right w:val="single" w:color="DDDDDD" w:sz="6"/>
            </w:tcBorders>
            <w:shd w:fill="F8F5E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+5% pool rewards</w:t>
            </w:r>
          </w:p>
        </w:tc>
        <w:tc>
          <w:tcPr>
            <w:tcW w:type="dxa" w:w="1716"/>
            <w:tcBorders>
              <w:top w:val="single" w:color="DDDDDD" w:sz="6"/>
              <w:left w:val="single" w:color="DDDDDD" w:sz="6"/>
              <w:bottom w:val="single" w:color="DDDDDD" w:sz="6"/>
              <w:right w:val="single" w:color="DDDDDD" w:sz="6"/>
            </w:tcBorders>
            <w:shd w:fill="F8F5E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Badge on-chain 'Jaguar Cub'</w:t>
            </w:r>
          </w:p>
        </w:tc>
      </w:tr>
      <w:tr>
        <w:trPr>
          <w:tblHeader w:val="false"/>
        </w:trPr>
        <w:tc>
          <w:tcPr>
            <w:tcW w:type="dxa" w:w="2184"/>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LP Comprometido 90d</w:t>
            </w:r>
          </w:p>
        </w:tc>
        <w:tc>
          <w:tcPr>
            <w:tcW w:type="dxa" w:w="1404"/>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90 días</w:t>
            </w:r>
          </w:p>
        </w:tc>
        <w:tc>
          <w:tcPr>
            <w:tcW w:type="dxa" w:w="1872"/>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35% fee estándar</w:t>
            </w:r>
          </w:p>
        </w:tc>
        <w:tc>
          <w:tcPr>
            <w:tcW w:type="dxa" w:w="2184"/>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+12% pool rewards</w:t>
            </w:r>
          </w:p>
        </w:tc>
        <w:tc>
          <w:tcPr>
            <w:tcW w:type="dxa" w:w="1716"/>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Badge 'Jaguar Alpha' + acceso prioritario Motor D</w:t>
            </w:r>
          </w:p>
        </w:tc>
      </w:tr>
      <w:tr>
        <w:trPr>
          <w:tblHeader w:val="false"/>
        </w:trPr>
        <w:tc>
          <w:tcPr>
            <w:tcW w:type="dxa" w:w="2184"/>
            <w:tcBorders>
              <w:top w:val="single" w:color="DDDDDD" w:sz="6"/>
              <w:left w:val="single" w:color="DDDDDD" w:sz="6"/>
              <w:bottom w:val="single" w:color="DDDDDD" w:sz="6"/>
              <w:right w:val="single" w:color="DDDDDD" w:sz="6"/>
            </w:tcBorders>
            <w:shd w:fill="F8F5E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LP Comprometido 365d</w:t>
            </w:r>
          </w:p>
        </w:tc>
        <w:tc>
          <w:tcPr>
            <w:tcW w:type="dxa" w:w="1404"/>
            <w:tcBorders>
              <w:top w:val="single" w:color="DDDDDD" w:sz="6"/>
              <w:left w:val="single" w:color="DDDDDD" w:sz="6"/>
              <w:bottom w:val="single" w:color="DDDDDD" w:sz="6"/>
              <w:right w:val="single" w:color="DDDDDD" w:sz="6"/>
            </w:tcBorders>
            <w:shd w:fill="F8F5E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365 días (Fundador)</w:t>
            </w:r>
          </w:p>
        </w:tc>
        <w:tc>
          <w:tcPr>
            <w:tcW w:type="dxa" w:w="1872"/>
            <w:tcBorders>
              <w:top w:val="single" w:color="DDDDDD" w:sz="6"/>
              <w:left w:val="single" w:color="DDDDDD" w:sz="6"/>
              <w:bottom w:val="single" w:color="DDDDDD" w:sz="6"/>
              <w:right w:val="single" w:color="DDDDDD" w:sz="6"/>
            </w:tcBorders>
            <w:shd w:fill="F8F5E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35% fee estándar</w:t>
            </w:r>
          </w:p>
        </w:tc>
        <w:tc>
          <w:tcPr>
            <w:tcW w:type="dxa" w:w="2184"/>
            <w:tcBorders>
              <w:top w:val="single" w:color="DDDDDD" w:sz="6"/>
              <w:left w:val="single" w:color="DDDDDD" w:sz="6"/>
              <w:bottom w:val="single" w:color="DDDDDD" w:sz="6"/>
              <w:right w:val="single" w:color="DDDDDD" w:sz="6"/>
            </w:tcBorders>
            <w:shd w:fill="F8F5E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+25% pool rewards</w:t>
            </w:r>
          </w:p>
        </w:tc>
        <w:tc>
          <w:tcPr>
            <w:tcW w:type="dxa" w:w="1716"/>
            <w:tcBorders>
              <w:top w:val="single" w:color="DDDDDD" w:sz="6"/>
              <w:left w:val="single" w:color="DDDDDD" w:sz="6"/>
              <w:bottom w:val="single" w:color="DDDDDD" w:sz="6"/>
              <w:right w:val="single" w:color="DDDDDD" w:sz="6"/>
            </w:tcBorders>
            <w:shd w:fill="F8F5E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Badge 'Jaguar Soberano' + voto de gobernanza</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4F" w:sz="12"/>
              <w:left w:val="single" w:color="2D6A4F" w:sz="20"/>
              <w:bottom w:val="single" w:color="2D6A4F" w:sz="6"/>
              <w:right w:val="single" w:color="2D6A4F" w:sz="6"/>
            </w:tcBorders>
            <w:shd w:fill="EEF5E8" w:val="clear"/>
            <w:tcMar>
              <w:top w:type="dxa" w:w="140"/>
              <w:left w:type="dxa" w:w="200"/>
              <w:bottom w:type="dxa" w:w="140"/>
              <w:right w:type="dxa" w:w="200"/>
            </w:tcMar>
          </w:tcPr>
          <w:p>
            <w:r>
              <w:rPr>
                <w:rFonts w:ascii="Arial" w:cs="Arial" w:eastAsia="Arial" w:hAnsi="Arial"/>
                <w:b/>
                <w:bCs/>
                <w:color w:val="2D6A4F"/>
                <w:sz w:val="20"/>
                <w:szCs w:val="20"/>
              </w:rPr>
              <w:t xml:space="preserve">RESULTADO CUANTIFICADO — Efectividad del Jaguar Shield</w:t>
            </w:r>
          </w:p>
          <w:p>
            <w:pPr>
              <w:spacing w:before="60"/>
            </w:pPr>
            <w:r>
              <w:rPr>
                <w:rFonts w:ascii="Arial" w:cs="Arial" w:eastAsia="Arial" w:hAnsi="Arial"/>
                <w:color w:val="1A1A2E"/>
                <w:sz w:val="19"/>
                <w:szCs w:val="19"/>
              </w:rPr>
              <w:t xml:space="preserve">Probabilidad de espiral de muerte SIN Jaguar Shield: ~8%
Probabilidad de espiral de muerte CON Jaguar Shield activo: 1.4%
Riesgo de ruina total del Vault (5,000 simulaciones Monte Carlo): 0.0%</w:t>
            </w:r>
          </w:p>
        </w:tc>
      </w:tr>
    </w:tbl>
    <w:p>
      <w:pPr>
        <w:spacing w:before="80" w:after="0"/>
      </w:pPr>
      <w:r>
        <w:t xml:space="preserve"/>
      </w:r>
    </w:p>
    <w:p>
      <w:pPr>
        <w:pStyle w:val="Heading2"/>
        <w:pBdr>
          <w:bottom w:val="single" w:color="C9A84C" w:sz="4" w:space="2"/>
        </w:pBdr>
        <w:spacing w:before="280" w:after="100"/>
      </w:pPr>
      <w:r>
        <w:rPr>
          <w:rFonts w:ascii="Arial" w:cs="Arial" w:eastAsia="Arial" w:hAnsi="Arial"/>
          <w:b/>
          <w:bCs/>
          <w:color w:val="2D6A4F"/>
          <w:sz w:val="26"/>
          <w:szCs w:val="26"/>
        </w:rPr>
        <w:t xml:space="preserve">7. RECURSOS CLAVE</w:t>
      </w:r>
    </w:p>
    <w:p>
      <w:pPr>
        <w:spacing w:before="0" w:after="80"/>
      </w:pPr>
      <w:r>
        <w:rPr>
          <w:rFonts w:ascii="Arial" w:cs="Arial" w:eastAsia="Arial" w:hAnsi="Arial"/>
          <w:b/>
          <w:bCs/>
          <w:caps/>
          <w:color w:val="C9A84C"/>
          <w:sz w:val="18"/>
          <w:szCs w:val="18"/>
        </w:rPr>
        <w:t xml:space="preserve">Vault Soberano · LUKAI · Smart Contracts · Capital de la Red</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560"/>
        <w:gridCol w:w="2886"/>
        <w:gridCol w:w="3042"/>
      </w:tblGrid>
      <w:tr>
        <w:trPr>
          <w:tblHeader/>
        </w:trPr>
        <w:tc>
          <w:tcPr>
            <w:tcW w:type="dxa" w:w="1872"/>
            <w:tcBorders>
              <w:top w:val="single" w:color="3D405B" w:sz="6"/>
              <w:left w:val="single" w:color="3D405B" w:sz="6"/>
              <w:bottom w:val="single" w:color="3D405B" w:sz="6"/>
              <w:right w:val="single" w:color="3D405B" w:sz="6"/>
            </w:tcBorders>
            <w:shd w:fill="3D405B" w:val="clear"/>
            <w:tcMar>
              <w:top w:type="dxa" w:w="100"/>
              <w:left w:type="dxa" w:w="140"/>
              <w:bottom w:type="dxa" w:w="100"/>
              <w:right w:type="dxa" w:w="140"/>
            </w:tcMar>
            <w:vAlign w:val="center"/>
          </w:tcPr>
          <w:p>
            <w:r>
              <w:rPr>
                <w:rFonts w:ascii="Arial" w:cs="Arial" w:eastAsia="Arial" w:hAnsi="Arial"/>
                <w:b/>
                <w:bCs/>
                <w:color w:val="FFFFFF"/>
                <w:sz w:val="18"/>
                <w:szCs w:val="18"/>
              </w:rPr>
              <w:t xml:space="preserve">Recurso</w:t>
            </w:r>
          </w:p>
        </w:tc>
        <w:tc>
          <w:tcPr>
            <w:tcW w:type="dxa" w:w="1560"/>
            <w:tcBorders>
              <w:top w:val="single" w:color="3D405B" w:sz="6"/>
              <w:left w:val="single" w:color="3D405B" w:sz="6"/>
              <w:bottom w:val="single" w:color="3D405B" w:sz="6"/>
              <w:right w:val="single" w:color="3D405B" w:sz="6"/>
            </w:tcBorders>
            <w:shd w:fill="3D405B" w:val="clear"/>
            <w:tcMar>
              <w:top w:type="dxa" w:w="100"/>
              <w:left w:type="dxa" w:w="140"/>
              <w:bottom w:type="dxa" w:w="100"/>
              <w:right w:type="dxa" w:w="140"/>
            </w:tcMar>
            <w:vAlign w:val="center"/>
          </w:tcPr>
          <w:p>
            <w:r>
              <w:rPr>
                <w:rFonts w:ascii="Arial" w:cs="Arial" w:eastAsia="Arial" w:hAnsi="Arial"/>
                <w:b/>
                <w:bCs/>
                <w:color w:val="FFFFFF"/>
                <w:sz w:val="18"/>
                <w:szCs w:val="18"/>
              </w:rPr>
              <w:t xml:space="preserve">Tipo</w:t>
            </w:r>
          </w:p>
        </w:tc>
        <w:tc>
          <w:tcPr>
            <w:tcW w:type="dxa" w:w="2886"/>
            <w:tcBorders>
              <w:top w:val="single" w:color="3D405B" w:sz="6"/>
              <w:left w:val="single" w:color="3D405B" w:sz="6"/>
              <w:bottom w:val="single" w:color="3D405B" w:sz="6"/>
              <w:right w:val="single" w:color="3D405B" w:sz="6"/>
            </w:tcBorders>
            <w:shd w:fill="3D405B" w:val="clear"/>
            <w:tcMar>
              <w:top w:type="dxa" w:w="100"/>
              <w:left w:type="dxa" w:w="140"/>
              <w:bottom w:type="dxa" w:w="100"/>
              <w:right w:type="dxa" w:w="140"/>
            </w:tcMar>
            <w:vAlign w:val="center"/>
          </w:tcPr>
          <w:p>
            <w:r>
              <w:rPr>
                <w:rFonts w:ascii="Arial" w:cs="Arial" w:eastAsia="Arial" w:hAnsi="Arial"/>
                <w:b/>
                <w:bCs/>
                <w:color w:val="FFFFFF"/>
                <w:sz w:val="18"/>
                <w:szCs w:val="18"/>
              </w:rPr>
              <w:t xml:space="preserve">Función Estratégica</w:t>
            </w:r>
          </w:p>
        </w:tc>
        <w:tc>
          <w:tcPr>
            <w:tcW w:type="dxa" w:w="3042"/>
            <w:tcBorders>
              <w:top w:val="single" w:color="3D405B" w:sz="6"/>
              <w:left w:val="single" w:color="3D405B" w:sz="6"/>
              <w:bottom w:val="single" w:color="3D405B" w:sz="6"/>
              <w:right w:val="single" w:color="3D405B" w:sz="6"/>
            </w:tcBorders>
            <w:shd w:fill="3D405B" w:val="clear"/>
            <w:tcMar>
              <w:top w:type="dxa" w:w="100"/>
              <w:left w:type="dxa" w:w="140"/>
              <w:bottom w:type="dxa" w:w="100"/>
              <w:right w:type="dxa" w:w="140"/>
            </w:tcMar>
            <w:vAlign w:val="center"/>
          </w:tcPr>
          <w:p>
            <w:r>
              <w:rPr>
                <w:rFonts w:ascii="Arial" w:cs="Arial" w:eastAsia="Arial" w:hAnsi="Arial"/>
                <w:b/>
                <w:bCs/>
                <w:color w:val="FFFFFF"/>
                <w:sz w:val="18"/>
                <w:szCs w:val="18"/>
              </w:rPr>
              <w:t xml:space="preserve">Mecánica de Seguridad</w:t>
            </w:r>
          </w:p>
        </w:tc>
      </w:tr>
      <w:tr>
        <w:trPr>
          <w:tblHeader w:val="false"/>
        </w:trPr>
        <w:tc>
          <w:tcPr>
            <w:tcW w:type="dxa" w:w="1872"/>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Vault KASH Core</w:t>
            </w:r>
          </w:p>
        </w:tc>
        <w:tc>
          <w:tcPr>
            <w:tcW w:type="dxa" w:w="1560"/>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Capital / Activos Reales</w:t>
            </w:r>
          </w:p>
        </w:tc>
        <w:tc>
          <w:tcPr>
            <w:tcW w:type="dxa" w:w="2886"/>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Reserva de respaldo inamovible del valor de $LUKA. Determina P_KASH y activa Motor B2.</w:t>
            </w:r>
          </w:p>
        </w:tc>
        <w:tc>
          <w:tcPr>
            <w:tcW w:type="dxa" w:w="3042"/>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Arquitectura 3 capas: Liquidez Inmediata (25% USDC), Trabajo Activo (cBTC+SOL+LST), Reserva Profunda (cBTC 35%). Multisig 3-de-3 para Capa 3.</w:t>
            </w:r>
          </w:p>
        </w:tc>
      </w:tr>
      <w:tr>
        <w:trPr>
          <w:tblHeader w:val="false"/>
        </w:trPr>
        <w:tc>
          <w:tcPr>
            <w:tcW w:type="dxa" w:w="1872"/>
            <w:tcBorders>
              <w:top w:val="single" w:color="DDDDDD" w:sz="6"/>
              <w:left w:val="single" w:color="DDDDDD" w:sz="6"/>
              <w:bottom w:val="single" w:color="DDDDDD" w:sz="6"/>
              <w:right w:val="single" w:color="DDDDDD" w:sz="6"/>
            </w:tcBorders>
            <w:shd w:fill="F8F5E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LUKAI v3.1</w:t>
            </w:r>
          </w:p>
        </w:tc>
        <w:tc>
          <w:tcPr>
            <w:tcW w:type="dxa" w:w="1560"/>
            <w:tcBorders>
              <w:top w:val="single" w:color="DDDDDD" w:sz="6"/>
              <w:left w:val="single" w:color="DDDDDD" w:sz="6"/>
              <w:bottom w:val="single" w:color="DDDDDD" w:sz="6"/>
              <w:right w:val="single" w:color="DDDDDD" w:sz="6"/>
            </w:tcBorders>
            <w:shd w:fill="F8F5E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Inteligencia Artificial / Software</w:t>
            </w:r>
          </w:p>
        </w:tc>
        <w:tc>
          <w:tcPr>
            <w:tcW w:type="dxa" w:w="2886"/>
            <w:tcBorders>
              <w:top w:val="single" w:color="DDDDDD" w:sz="6"/>
              <w:left w:val="single" w:color="DDDDDD" w:sz="6"/>
              <w:bottom w:val="single" w:color="DDDDDD" w:sz="6"/>
              <w:right w:val="single" w:color="DDDDDD" w:sz="6"/>
            </w:tcBorders>
            <w:shd w:fill="F8F5E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Orquestador de estados. Interfaz conversacional. Calibrador del Jaguar Score. Módulo contra-cíclico.</w:t>
            </w:r>
          </w:p>
        </w:tc>
        <w:tc>
          <w:tcPr>
            <w:tcW w:type="dxa" w:w="3042"/>
            <w:tcBorders>
              <w:top w:val="single" w:color="DDDDDD" w:sz="6"/>
              <w:left w:val="single" w:color="DDDDDD" w:sz="6"/>
              <w:bottom w:val="single" w:color="DDDDDD" w:sz="6"/>
              <w:right w:val="single" w:color="DDDDDD" w:sz="6"/>
            </w:tcBorders>
            <w:shd w:fill="F8F5E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Opera on-chain vía Pyth Network. Sin intervención humana en funciones críticas. Throttle Dinámico automático.</w:t>
            </w:r>
          </w:p>
        </w:tc>
      </w:tr>
      <w:tr>
        <w:trPr>
          <w:tblHeader w:val="false"/>
        </w:trPr>
        <w:tc>
          <w:tcPr>
            <w:tcW w:type="dxa" w:w="1872"/>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Smart Contracts en Solana</w:t>
            </w:r>
          </w:p>
        </w:tc>
        <w:tc>
          <w:tcPr>
            <w:tcW w:type="dxa" w:w="1560"/>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Infraestructura Técnica</w:t>
            </w:r>
          </w:p>
        </w:tc>
        <w:tc>
          <w:tcPr>
            <w:tcW w:type="dxa" w:w="2886"/>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PDA de control de supply. Distribución atómica de fees. Ejecución de Jaguar Lock. Emisión Neta Cero automática.</w:t>
            </w:r>
          </w:p>
        </w:tc>
        <w:tc>
          <w:tcPr>
            <w:tcW w:type="dxa" w:w="3042"/>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100% nativos en Solana. Sin bridges. Auditados. Multisig para funciones de emergencia.</w:t>
            </w:r>
          </w:p>
        </w:tc>
      </w:tr>
      <w:tr>
        <w:trPr>
          <w:tblHeader w:val="false"/>
        </w:trPr>
        <w:tc>
          <w:tcPr>
            <w:tcW w:type="dxa" w:w="1872"/>
            <w:tcBorders>
              <w:top w:val="single" w:color="DDDDDD" w:sz="6"/>
              <w:left w:val="single" w:color="DDDDDD" w:sz="6"/>
              <w:bottom w:val="single" w:color="DDDDDD" w:sz="6"/>
              <w:right w:val="single" w:color="DDDDDD" w:sz="6"/>
            </w:tcBorders>
            <w:shd w:fill="F8F5E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Pool de Liquidez LP (Meteora)</w:t>
            </w:r>
          </w:p>
        </w:tc>
        <w:tc>
          <w:tcPr>
            <w:tcW w:type="dxa" w:w="1560"/>
            <w:tcBorders>
              <w:top w:val="single" w:color="DDDDDD" w:sz="6"/>
              <w:left w:val="single" w:color="DDDDDD" w:sz="6"/>
              <w:bottom w:val="single" w:color="DDDDDD" w:sz="6"/>
              <w:right w:val="single" w:color="DDDDDD" w:sz="6"/>
            </w:tcBorders>
            <w:shd w:fill="F8F5E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Liquidez de Mercado</w:t>
            </w:r>
          </w:p>
        </w:tc>
        <w:tc>
          <w:tcPr>
            <w:tcW w:type="dxa" w:w="2886"/>
            <w:tcBorders>
              <w:top w:val="single" w:color="DDDDDD" w:sz="6"/>
              <w:left w:val="single" w:color="DDDDDD" w:sz="6"/>
              <w:bottom w:val="single" w:color="DDDDDD" w:sz="6"/>
              <w:right w:val="single" w:color="DDDDDD" w:sz="6"/>
            </w:tcBorders>
            <w:shd w:fill="F8F5E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Soporte de trading en DEX. Fuente del Motor A. LP Fundador con lock obligatorio de 365 días.</w:t>
            </w:r>
          </w:p>
        </w:tc>
        <w:tc>
          <w:tcPr>
            <w:tcW w:type="dxa" w:w="3042"/>
            <w:tcBorders>
              <w:top w:val="single" w:color="DDDDDD" w:sz="6"/>
              <w:left w:val="single" w:color="DDDDDD" w:sz="6"/>
              <w:bottom w:val="single" w:color="DDDDDD" w:sz="6"/>
              <w:right w:val="single" w:color="DDDDDD" w:sz="6"/>
            </w:tcBorders>
            <w:shd w:fill="F8F5E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Tokens LP emparejados y quemados. Circuit Breaker automático. Jaguar Shield LP activo.</w:t>
            </w:r>
          </w:p>
        </w:tc>
      </w:tr>
      <w:tr>
        <w:trPr>
          <w:tblHeader w:val="false"/>
        </w:trPr>
        <w:tc>
          <w:tcPr>
            <w:tcW w:type="dxa" w:w="1872"/>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Red de Jaguares (Capital Intelectual)</w:t>
            </w:r>
          </w:p>
        </w:tc>
        <w:tc>
          <w:tcPr>
            <w:tcW w:type="dxa" w:w="1560"/>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Capital Humano / Social</w:t>
            </w:r>
          </w:p>
        </w:tc>
        <w:tc>
          <w:tcPr>
            <w:tcW w:type="dxa" w:w="2886"/>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Conocimiento colectivo on-chain del ecosistema. Jaguar Score como reputación verificable. Comunidad como canal de distribución.</w:t>
            </w:r>
          </w:p>
        </w:tc>
        <w:tc>
          <w:tcPr>
            <w:tcW w:type="dxa" w:w="3042"/>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Costo de Salida Psicológico. Score acumulado on-chain. Gobernanza participativa en Fase 3.</w:t>
            </w:r>
          </w:p>
        </w:tc>
      </w:tr>
      <w:tr>
        <w:trPr>
          <w:tblHeader w:val="false"/>
        </w:trPr>
        <w:tc>
          <w:tcPr>
            <w:tcW w:type="dxa" w:w="1872"/>
            <w:tcBorders>
              <w:top w:val="single" w:color="DDDDDD" w:sz="6"/>
              <w:left w:val="single" w:color="DDDDDD" w:sz="6"/>
              <w:bottom w:val="single" w:color="DDDDDD" w:sz="6"/>
              <w:right w:val="single" w:color="DDDDDD" w:sz="6"/>
            </w:tcBorders>
            <w:shd w:fill="F8F5E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Tokenomics $LUKA</w:t>
            </w:r>
          </w:p>
        </w:tc>
        <w:tc>
          <w:tcPr>
            <w:tcW w:type="dxa" w:w="1560"/>
            <w:tcBorders>
              <w:top w:val="single" w:color="DDDDDD" w:sz="6"/>
              <w:left w:val="single" w:color="DDDDDD" w:sz="6"/>
              <w:bottom w:val="single" w:color="DDDDDD" w:sz="6"/>
              <w:right w:val="single" w:color="DDDDDD" w:sz="6"/>
            </w:tcBorders>
            <w:shd w:fill="F8F5E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Activo Digital</w:t>
            </w:r>
          </w:p>
        </w:tc>
        <w:tc>
          <w:tcPr>
            <w:tcW w:type="dxa" w:w="2886"/>
            <w:tcBorders>
              <w:top w:val="single" w:color="DDDDDD" w:sz="6"/>
              <w:left w:val="single" w:color="DDDDDD" w:sz="6"/>
              <w:bottom w:val="single" w:color="DDDDDD" w:sz="6"/>
              <w:right w:val="single" w:color="DDDDDD" w:sz="6"/>
            </w:tcBorders>
            <w:shd w:fill="F8F5E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Activo transaccional deflacionario. Supply 10B → objetivo 3.3B. Respaldado por Vault en cada unidad.</w:t>
            </w:r>
          </w:p>
        </w:tc>
        <w:tc>
          <w:tcPr>
            <w:tcW w:type="dxa" w:w="3042"/>
            <w:tcBorders>
              <w:top w:val="single" w:color="DDDDDD" w:sz="6"/>
              <w:left w:val="single" w:color="DDDDDD" w:sz="6"/>
              <w:bottom w:val="single" w:color="DDDDDD" w:sz="6"/>
              <w:right w:val="single" w:color="DDDDDD" w:sz="6"/>
            </w:tcBorders>
            <w:shd w:fill="F8F5E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Vesting del equipo fundador publicado on-chain antes del TGE. LP Fundador 365d lock. KOLs bajo Jaguar Lock.</w:t>
            </w:r>
          </w:p>
        </w:tc>
      </w:tr>
    </w:tbl>
    <w:p>
      <w:pPr>
        <w:spacing w:before="80" w:after="0"/>
      </w:pPr>
      <w:r>
        <w:t xml:space="preserve"/>
      </w:r>
    </w:p>
    <w:p>
      <w:pPr>
        <w:spacing w:before="200" w:after="60"/>
      </w:pPr>
      <w:r>
        <w:rPr>
          <w:rFonts w:ascii="Arial" w:cs="Arial" w:eastAsia="Arial" w:hAnsi="Arial"/>
          <w:b/>
          <w:bCs/>
          <w:color w:val="3D405B"/>
          <w:sz w:val="22"/>
          <w:szCs w:val="22"/>
        </w:rPr>
        <w:t xml:space="preserve">7.1 Composición del Vault KASH Core v3.1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84"/>
        <w:gridCol w:w="936"/>
        <w:gridCol w:w="1404"/>
        <w:gridCol w:w="3276"/>
        <w:gridCol w:w="1560"/>
      </w:tblGrid>
      <w:tr>
        <w:trPr>
          <w:tblHeader/>
        </w:trPr>
        <w:tc>
          <w:tcPr>
            <w:tcW w:type="dxa" w:w="2184"/>
            <w:tcBorders>
              <w:top w:val="single" w:color="2D6A4F" w:sz="6"/>
              <w:left w:val="single" w:color="2D6A4F" w:sz="6"/>
              <w:bottom w:val="single" w:color="2D6A4F" w:sz="6"/>
              <w:right w:val="single" w:color="2D6A4F" w:sz="6"/>
            </w:tcBorders>
            <w:shd w:fill="2D6A4F" w:val="clear"/>
            <w:tcMar>
              <w:top w:type="dxa" w:w="100"/>
              <w:left w:type="dxa" w:w="140"/>
              <w:bottom w:type="dxa" w:w="100"/>
              <w:right w:type="dxa" w:w="140"/>
            </w:tcMar>
            <w:vAlign w:val="center"/>
          </w:tcPr>
          <w:p>
            <w:r>
              <w:rPr>
                <w:rFonts w:ascii="Arial" w:cs="Arial" w:eastAsia="Arial" w:hAnsi="Arial"/>
                <w:b/>
                <w:bCs/>
                <w:color w:val="FFFFFF"/>
                <w:sz w:val="18"/>
                <w:szCs w:val="18"/>
              </w:rPr>
              <w:t xml:space="preserve">Activo</w:t>
            </w:r>
          </w:p>
        </w:tc>
        <w:tc>
          <w:tcPr>
            <w:tcW w:type="dxa" w:w="936"/>
            <w:tcBorders>
              <w:top w:val="single" w:color="2D6A4F" w:sz="6"/>
              <w:left w:val="single" w:color="2D6A4F" w:sz="6"/>
              <w:bottom w:val="single" w:color="2D6A4F" w:sz="6"/>
              <w:right w:val="single" w:color="2D6A4F" w:sz="6"/>
            </w:tcBorders>
            <w:shd w:fill="2D6A4F" w:val="clear"/>
            <w:tcMar>
              <w:top w:type="dxa" w:w="100"/>
              <w:left w:type="dxa" w:w="140"/>
              <w:bottom w:type="dxa" w:w="100"/>
              <w:right w:type="dxa" w:w="140"/>
            </w:tcMar>
            <w:vAlign w:val="center"/>
          </w:tcPr>
          <w:p>
            <w:r>
              <w:rPr>
                <w:rFonts w:ascii="Arial" w:cs="Arial" w:eastAsia="Arial" w:hAnsi="Arial"/>
                <w:b/>
                <w:bCs/>
                <w:color w:val="FFFFFF"/>
                <w:sz w:val="18"/>
                <w:szCs w:val="18"/>
              </w:rPr>
              <w:t xml:space="preserve">Asignación</w:t>
            </w:r>
          </w:p>
        </w:tc>
        <w:tc>
          <w:tcPr>
            <w:tcW w:type="dxa" w:w="1404"/>
            <w:tcBorders>
              <w:top w:val="single" w:color="2D6A4F" w:sz="6"/>
              <w:left w:val="single" w:color="2D6A4F" w:sz="6"/>
              <w:bottom w:val="single" w:color="2D6A4F" w:sz="6"/>
              <w:right w:val="single" w:color="2D6A4F" w:sz="6"/>
            </w:tcBorders>
            <w:shd w:fill="2D6A4F" w:val="clear"/>
            <w:tcMar>
              <w:top w:type="dxa" w:w="100"/>
              <w:left w:type="dxa" w:w="140"/>
              <w:bottom w:type="dxa" w:w="100"/>
              <w:right w:type="dxa" w:w="140"/>
            </w:tcMar>
            <w:vAlign w:val="center"/>
          </w:tcPr>
          <w:p>
            <w:r>
              <w:rPr>
                <w:rFonts w:ascii="Arial" w:cs="Arial" w:eastAsia="Arial" w:hAnsi="Arial"/>
                <w:b/>
                <w:bCs/>
                <w:color w:val="FFFFFF"/>
                <w:sz w:val="18"/>
                <w:szCs w:val="18"/>
              </w:rPr>
              <w:t xml:space="preserve">Yield Anual</w:t>
            </w:r>
          </w:p>
        </w:tc>
        <w:tc>
          <w:tcPr>
            <w:tcW w:type="dxa" w:w="3276"/>
            <w:tcBorders>
              <w:top w:val="single" w:color="2D6A4F" w:sz="6"/>
              <w:left w:val="single" w:color="2D6A4F" w:sz="6"/>
              <w:bottom w:val="single" w:color="2D6A4F" w:sz="6"/>
              <w:right w:val="single" w:color="2D6A4F" w:sz="6"/>
            </w:tcBorders>
            <w:shd w:fill="2D6A4F" w:val="clear"/>
            <w:tcMar>
              <w:top w:type="dxa" w:w="100"/>
              <w:left w:type="dxa" w:w="140"/>
              <w:bottom w:type="dxa" w:w="100"/>
              <w:right w:type="dxa" w:w="140"/>
            </w:tcMar>
            <w:vAlign w:val="center"/>
          </w:tcPr>
          <w:p>
            <w:r>
              <w:rPr>
                <w:rFonts w:ascii="Arial" w:cs="Arial" w:eastAsia="Arial" w:hAnsi="Arial"/>
                <w:b/>
                <w:bCs/>
                <w:color w:val="FFFFFF"/>
                <w:sz w:val="18"/>
                <w:szCs w:val="18"/>
              </w:rPr>
              <w:t xml:space="preserve">Justificación Estratégica</w:t>
            </w:r>
          </w:p>
        </w:tc>
        <w:tc>
          <w:tcPr>
            <w:tcW w:type="dxa" w:w="1560"/>
            <w:tcBorders>
              <w:top w:val="single" w:color="2D6A4F" w:sz="6"/>
              <w:left w:val="single" w:color="2D6A4F" w:sz="6"/>
              <w:bottom w:val="single" w:color="2D6A4F" w:sz="6"/>
              <w:right w:val="single" w:color="2D6A4F" w:sz="6"/>
            </w:tcBorders>
            <w:shd w:fill="2D6A4F" w:val="clear"/>
            <w:tcMar>
              <w:top w:type="dxa" w:w="100"/>
              <w:left w:type="dxa" w:w="140"/>
              <w:bottom w:type="dxa" w:w="100"/>
              <w:right w:type="dxa" w:w="140"/>
            </w:tcMar>
            <w:vAlign w:val="center"/>
          </w:tcPr>
          <w:p>
            <w:r>
              <w:rPr>
                <w:rFonts w:ascii="Arial" w:cs="Arial" w:eastAsia="Arial" w:hAnsi="Arial"/>
                <w:b/>
                <w:bCs/>
                <w:color w:val="FFFFFF"/>
                <w:sz w:val="18"/>
                <w:szCs w:val="18"/>
              </w:rPr>
              <w:t xml:space="preserve">Riesgo Bridge</w:t>
            </w:r>
          </w:p>
        </w:tc>
      </w:tr>
      <w:tr>
        <w:trPr>
          <w:tblHeader w:val="false"/>
        </w:trPr>
        <w:tc>
          <w:tcPr>
            <w:tcW w:type="dxa" w:w="2184"/>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cBTC (Bitcoin Nativo)</w:t>
            </w:r>
          </w:p>
        </w:tc>
        <w:tc>
          <w:tcPr>
            <w:tcW w:type="dxa" w:w="936"/>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35%</w:t>
            </w:r>
          </w:p>
        </w:tc>
        <w:tc>
          <w:tcPr>
            <w:tcW w:type="dxa" w:w="1404"/>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0% + apreciación</w:t>
            </w:r>
          </w:p>
        </w:tc>
        <w:tc>
          <w:tcPr>
            <w:tcW w:type="dxa" w:w="3276"/>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Reserva de valor primaria. cbBTC nativo en Solana sin Wormhole. Correlación BTC: 1.00.</w:t>
            </w:r>
          </w:p>
        </w:tc>
        <w:tc>
          <w:tcPr>
            <w:tcW w:type="dxa" w:w="1560"/>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NINGUNO</w:t>
            </w:r>
          </w:p>
        </w:tc>
      </w:tr>
      <w:tr>
        <w:trPr>
          <w:tblHeader w:val="false"/>
        </w:trPr>
        <w:tc>
          <w:tcPr>
            <w:tcW w:type="dxa" w:w="2184"/>
            <w:tcBorders>
              <w:top w:val="single" w:color="DDDDDD" w:sz="6"/>
              <w:left w:val="single" w:color="DDDDDD" w:sz="6"/>
              <w:bottom w:val="single" w:color="DDDDDD" w:sz="6"/>
              <w:right w:val="single" w:color="DDDDDD" w:sz="6"/>
            </w:tcBorders>
            <w:shd w:fill="F8F5E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SOL (Nativo)</w:t>
            </w:r>
          </w:p>
        </w:tc>
        <w:tc>
          <w:tcPr>
            <w:tcW w:type="dxa" w:w="936"/>
            <w:tcBorders>
              <w:top w:val="single" w:color="DDDDDD" w:sz="6"/>
              <w:left w:val="single" w:color="DDDDDD" w:sz="6"/>
              <w:bottom w:val="single" w:color="DDDDDD" w:sz="6"/>
              <w:right w:val="single" w:color="DDDDDD" w:sz="6"/>
            </w:tcBorders>
            <w:shd w:fill="F8F5E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15%</w:t>
            </w:r>
          </w:p>
        </w:tc>
        <w:tc>
          <w:tcPr>
            <w:tcW w:type="dxa" w:w="1404"/>
            <w:tcBorders>
              <w:top w:val="single" w:color="DDDDDD" w:sz="6"/>
              <w:left w:val="single" w:color="DDDDDD" w:sz="6"/>
              <w:bottom w:val="single" w:color="DDDDDD" w:sz="6"/>
              <w:right w:val="single" w:color="DDDDDD" w:sz="6"/>
            </w:tcBorders>
            <w:shd w:fill="F8F5E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0% + apreciación</w:t>
            </w:r>
          </w:p>
        </w:tc>
        <w:tc>
          <w:tcPr>
            <w:tcW w:type="dxa" w:w="3276"/>
            <w:tcBorders>
              <w:top w:val="single" w:color="DDDDDD" w:sz="6"/>
              <w:left w:val="single" w:color="DDDDDD" w:sz="6"/>
              <w:bottom w:val="single" w:color="DDDDDD" w:sz="6"/>
              <w:right w:val="single" w:color="DDDDDD" w:sz="6"/>
            </w:tcBorders>
            <w:shd w:fill="F8F5E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Liquidez operativa del ecosistema. Activo de gas. Correlación BTC: 0.80.</w:t>
            </w:r>
          </w:p>
        </w:tc>
        <w:tc>
          <w:tcPr>
            <w:tcW w:type="dxa" w:w="1560"/>
            <w:tcBorders>
              <w:top w:val="single" w:color="DDDDDD" w:sz="6"/>
              <w:left w:val="single" w:color="DDDDDD" w:sz="6"/>
              <w:bottom w:val="single" w:color="DDDDDD" w:sz="6"/>
              <w:right w:val="single" w:color="DDDDDD" w:sz="6"/>
            </w:tcBorders>
            <w:shd w:fill="F8F5E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NINGUNO</w:t>
            </w:r>
          </w:p>
        </w:tc>
      </w:tr>
      <w:tr>
        <w:trPr>
          <w:tblHeader w:val="false"/>
        </w:trPr>
        <w:tc>
          <w:tcPr>
            <w:tcW w:type="dxa" w:w="2184"/>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SOL/LST (JitoSOL + mSOL)</w:t>
            </w:r>
          </w:p>
        </w:tc>
        <w:tc>
          <w:tcPr>
            <w:tcW w:type="dxa" w:w="936"/>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20%</w:t>
            </w:r>
          </w:p>
        </w:tc>
        <w:tc>
          <w:tcPr>
            <w:tcW w:type="dxa" w:w="1404"/>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6–8% anual</w:t>
            </w:r>
          </w:p>
        </w:tc>
        <w:tc>
          <w:tcPr>
            <w:tcW w:type="dxa" w:w="3276"/>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Exposición SOL con yield adicional. JitoSOL protege contra MEV. Correlación BTC: 0.75.</w:t>
            </w:r>
          </w:p>
        </w:tc>
        <w:tc>
          <w:tcPr>
            <w:tcW w:type="dxa" w:w="1560"/>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NINGUNO</w:t>
            </w:r>
          </w:p>
        </w:tc>
      </w:tr>
      <w:tr>
        <w:trPr>
          <w:tblHeader w:val="false"/>
        </w:trPr>
        <w:tc>
          <w:tcPr>
            <w:tcW w:type="dxa" w:w="2184"/>
            <w:tcBorders>
              <w:top w:val="single" w:color="DDDDDD" w:sz="6"/>
              <w:left w:val="single" w:color="DDDDDD" w:sz="6"/>
              <w:bottom w:val="single" w:color="DDDDDD" w:sz="6"/>
              <w:right w:val="single" w:color="DDDDDD" w:sz="6"/>
            </w:tcBorders>
            <w:shd w:fill="F8F5E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USDC Reserva Inmediata</w:t>
            </w:r>
          </w:p>
        </w:tc>
        <w:tc>
          <w:tcPr>
            <w:tcW w:type="dxa" w:w="936"/>
            <w:tcBorders>
              <w:top w:val="single" w:color="DDDDDD" w:sz="6"/>
              <w:left w:val="single" w:color="DDDDDD" w:sz="6"/>
              <w:bottom w:val="single" w:color="DDDDDD" w:sz="6"/>
              <w:right w:val="single" w:color="DDDDDD" w:sz="6"/>
            </w:tcBorders>
            <w:shd w:fill="F8F5E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25%</w:t>
            </w:r>
          </w:p>
        </w:tc>
        <w:tc>
          <w:tcPr>
            <w:tcW w:type="dxa" w:w="1404"/>
            <w:tcBorders>
              <w:top w:val="single" w:color="DDDDDD" w:sz="6"/>
              <w:left w:val="single" w:color="DDDDDD" w:sz="6"/>
              <w:bottom w:val="single" w:color="DDDDDD" w:sz="6"/>
              <w:right w:val="single" w:color="DDDDDD" w:sz="6"/>
            </w:tcBorders>
            <w:shd w:fill="F8F5E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0% (líquido)</w:t>
            </w:r>
          </w:p>
        </w:tc>
        <w:tc>
          <w:tcPr>
            <w:tcW w:type="dxa" w:w="3276"/>
            <w:tcBorders>
              <w:top w:val="single" w:color="DDDDDD" w:sz="6"/>
              <w:left w:val="single" w:color="DDDDDD" w:sz="6"/>
              <w:bottom w:val="single" w:color="DDDDDD" w:sz="6"/>
              <w:right w:val="single" w:color="DDDDDD" w:sz="6"/>
            </w:tcBorders>
            <w:shd w:fill="F8F5E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Buffer de Capa 1. Disponible sin conversión para Motor B2. Estabilidad total.</w:t>
            </w:r>
          </w:p>
        </w:tc>
        <w:tc>
          <w:tcPr>
            <w:tcW w:type="dxa" w:w="1560"/>
            <w:tcBorders>
              <w:top w:val="single" w:color="DDDDDD" w:sz="6"/>
              <w:left w:val="single" w:color="DDDDDD" w:sz="6"/>
              <w:bottom w:val="single" w:color="DDDDDD" w:sz="6"/>
              <w:right w:val="single" w:color="DDDDDD" w:sz="6"/>
            </w:tcBorders>
            <w:shd w:fill="F8F5E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NINGUNO</w:t>
            </w:r>
          </w:p>
        </w:tc>
      </w:tr>
      <w:tr>
        <w:trPr>
          <w:tblHeader w:val="false"/>
        </w:trPr>
        <w:tc>
          <w:tcPr>
            <w:tcW w:type="dxa" w:w="2184"/>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USDC Lending (Kamino/Marginfi)</w:t>
            </w:r>
          </w:p>
        </w:tc>
        <w:tc>
          <w:tcPr>
            <w:tcW w:type="dxa" w:w="936"/>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5%</w:t>
            </w:r>
          </w:p>
        </w:tc>
        <w:tc>
          <w:tcPr>
            <w:tcW w:type="dxa" w:w="1404"/>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4–8% anual</w:t>
            </w:r>
          </w:p>
        </w:tc>
        <w:tc>
          <w:tcPr>
            <w:tcW w:type="dxa" w:w="3276"/>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Capital ocioso generando yield. Retiro garantizado en &lt;24h.</w:t>
            </w:r>
          </w:p>
        </w:tc>
        <w:tc>
          <w:tcPr>
            <w:tcW w:type="dxa" w:w="1560"/>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NINGUNO</w:t>
            </w:r>
          </w:p>
        </w:tc>
      </w:tr>
      <w:tr>
        <w:trPr>
          <w:tblHeader w:val="false"/>
        </w:trPr>
        <w:tc>
          <w:tcPr>
            <w:tcW w:type="dxa" w:w="2184"/>
            <w:tcBorders>
              <w:top w:val="single" w:color="DDDDDD" w:sz="6"/>
              <w:left w:val="single" w:color="DDDDDD" w:sz="6"/>
              <w:bottom w:val="single" w:color="DDDDDD" w:sz="6"/>
              <w:right w:val="single" w:color="DDDDDD" w:sz="6"/>
            </w:tcBorders>
            <w:shd w:fill="F8F5E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PYTH + JTO + JUP</w:t>
            </w:r>
          </w:p>
        </w:tc>
        <w:tc>
          <w:tcPr>
            <w:tcW w:type="dxa" w:w="936"/>
            <w:tcBorders>
              <w:top w:val="single" w:color="DDDDDD" w:sz="6"/>
              <w:left w:val="single" w:color="DDDDDD" w:sz="6"/>
              <w:bottom w:val="single" w:color="DDDDDD" w:sz="6"/>
              <w:right w:val="single" w:color="DDDDDD" w:sz="6"/>
            </w:tcBorders>
            <w:shd w:fill="F8F5E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5%</w:t>
            </w:r>
          </w:p>
        </w:tc>
        <w:tc>
          <w:tcPr>
            <w:tcW w:type="dxa" w:w="1404"/>
            <w:tcBorders>
              <w:top w:val="single" w:color="DDDDDD" w:sz="6"/>
              <w:left w:val="single" w:color="DDDDDD" w:sz="6"/>
              <w:bottom w:val="single" w:color="DDDDDD" w:sz="6"/>
              <w:right w:val="single" w:color="DDDDDD" w:sz="6"/>
            </w:tcBorders>
            <w:shd w:fill="F8F5E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Variable</w:t>
            </w:r>
          </w:p>
        </w:tc>
        <w:tc>
          <w:tcPr>
            <w:tcW w:type="dxa" w:w="3276"/>
            <w:tcBorders>
              <w:top w:val="single" w:color="DDDDDD" w:sz="6"/>
              <w:left w:val="single" w:color="DDDDDD" w:sz="6"/>
              <w:bottom w:val="single" w:color="DDDDDD" w:sz="6"/>
              <w:right w:val="single" w:color="DDDDDD" w:sz="6"/>
            </w:tcBorders>
            <w:shd w:fill="F8F5E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Infraestructura del protocolo: Pyth alimenta Throttle y Motor B2. JTO/JUP son oráculos de ecosistema.</w:t>
            </w:r>
          </w:p>
        </w:tc>
        <w:tc>
          <w:tcPr>
            <w:tcW w:type="dxa" w:w="1560"/>
            <w:tcBorders>
              <w:top w:val="single" w:color="DDDDDD" w:sz="6"/>
              <w:left w:val="single" w:color="DDDDDD" w:sz="6"/>
              <w:bottom w:val="single" w:color="DDDDDD" w:sz="6"/>
              <w:right w:val="single" w:color="DDDDDD" w:sz="6"/>
            </w:tcBorders>
            <w:shd w:fill="F8F5E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NINGUNO</w:t>
            </w:r>
          </w:p>
        </w:tc>
      </w:tr>
    </w:tbl>
    <w:p>
      <w:pPr>
        <w:spacing w:before="80" w:after="0"/>
      </w:pPr>
      <w:r>
        <w:t xml:space="preserve"/>
      </w:r>
    </w:p>
    <w:p>
      <w:pPr>
        <w:pStyle w:val="Heading2"/>
        <w:pBdr>
          <w:bottom w:val="single" w:color="C9A84C" w:sz="4" w:space="2"/>
        </w:pBdr>
        <w:spacing w:before="280" w:after="100"/>
      </w:pPr>
      <w:r>
        <w:rPr>
          <w:rFonts w:ascii="Arial" w:cs="Arial" w:eastAsia="Arial" w:hAnsi="Arial"/>
          <w:b/>
          <w:bCs/>
          <w:color w:val="2D6A4F"/>
          <w:sz w:val="26"/>
          <w:szCs w:val="26"/>
        </w:rPr>
        <w:t xml:space="preserve">8. ASOCIACIONES CLAVE</w:t>
      </w:r>
    </w:p>
    <w:p>
      <w:pPr>
        <w:spacing w:before="0" w:after="80"/>
      </w:pPr>
      <w:r>
        <w:rPr>
          <w:rFonts w:ascii="Arial" w:cs="Arial" w:eastAsia="Arial" w:hAnsi="Arial"/>
          <w:b/>
          <w:bCs/>
          <w:caps/>
          <w:color w:val="C9A84C"/>
          <w:sz w:val="18"/>
          <w:szCs w:val="18"/>
        </w:rPr>
        <w:t xml:space="preserve">Market Makers · KOLs Jaguar Lock · Protocolos RWA · Infraestructura</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3120"/>
        <w:gridCol w:w="2496"/>
      </w:tblGrid>
      <w:tr>
        <w:trPr>
          <w:tblHeader/>
        </w:trPr>
        <w:tc>
          <w:tcPr>
            <w:tcW w:type="dxa" w:w="1872"/>
            <w:tcBorders>
              <w:top w:val="single" w:color="3D405B" w:sz="6"/>
              <w:left w:val="single" w:color="3D405B" w:sz="6"/>
              <w:bottom w:val="single" w:color="3D405B" w:sz="6"/>
              <w:right w:val="single" w:color="3D405B" w:sz="6"/>
            </w:tcBorders>
            <w:shd w:fill="3D405B" w:val="clear"/>
            <w:tcMar>
              <w:top w:type="dxa" w:w="100"/>
              <w:left w:type="dxa" w:w="140"/>
              <w:bottom w:type="dxa" w:w="100"/>
              <w:right w:type="dxa" w:w="140"/>
            </w:tcMar>
            <w:vAlign w:val="center"/>
          </w:tcPr>
          <w:p>
            <w:r>
              <w:rPr>
                <w:rFonts w:ascii="Arial" w:cs="Arial" w:eastAsia="Arial" w:hAnsi="Arial"/>
                <w:b/>
                <w:bCs/>
                <w:color w:val="FFFFFF"/>
                <w:sz w:val="18"/>
                <w:szCs w:val="18"/>
              </w:rPr>
              <w:t xml:space="preserve">Tipo de Alianza</w:t>
            </w:r>
          </w:p>
        </w:tc>
        <w:tc>
          <w:tcPr>
            <w:tcW w:type="dxa" w:w="1872"/>
            <w:tcBorders>
              <w:top w:val="single" w:color="3D405B" w:sz="6"/>
              <w:left w:val="single" w:color="3D405B" w:sz="6"/>
              <w:bottom w:val="single" w:color="3D405B" w:sz="6"/>
              <w:right w:val="single" w:color="3D405B" w:sz="6"/>
            </w:tcBorders>
            <w:shd w:fill="3D405B" w:val="clear"/>
            <w:tcMar>
              <w:top w:type="dxa" w:w="100"/>
              <w:left w:type="dxa" w:w="140"/>
              <w:bottom w:type="dxa" w:w="100"/>
              <w:right w:type="dxa" w:w="140"/>
            </w:tcMar>
            <w:vAlign w:val="center"/>
          </w:tcPr>
          <w:p>
            <w:r>
              <w:rPr>
                <w:rFonts w:ascii="Arial" w:cs="Arial" w:eastAsia="Arial" w:hAnsi="Arial"/>
                <w:b/>
                <w:bCs/>
                <w:color w:val="FFFFFF"/>
                <w:sz w:val="18"/>
                <w:szCs w:val="18"/>
              </w:rPr>
              <w:t xml:space="preserve">Socio(s) Objetivo</w:t>
            </w:r>
          </w:p>
        </w:tc>
        <w:tc>
          <w:tcPr>
            <w:tcW w:type="dxa" w:w="3120"/>
            <w:tcBorders>
              <w:top w:val="single" w:color="3D405B" w:sz="6"/>
              <w:left w:val="single" w:color="3D405B" w:sz="6"/>
              <w:bottom w:val="single" w:color="3D405B" w:sz="6"/>
              <w:right w:val="single" w:color="3D405B" w:sz="6"/>
            </w:tcBorders>
            <w:shd w:fill="3D405B" w:val="clear"/>
            <w:tcMar>
              <w:top w:type="dxa" w:w="100"/>
              <w:left w:type="dxa" w:w="140"/>
              <w:bottom w:type="dxa" w:w="100"/>
              <w:right w:type="dxa" w:w="140"/>
            </w:tcMar>
            <w:vAlign w:val="center"/>
          </w:tcPr>
          <w:p>
            <w:r>
              <w:rPr>
                <w:rFonts w:ascii="Arial" w:cs="Arial" w:eastAsia="Arial" w:hAnsi="Arial"/>
                <w:b/>
                <w:bCs/>
                <w:color w:val="FFFFFF"/>
                <w:sz w:val="18"/>
                <w:szCs w:val="18"/>
              </w:rPr>
              <w:t xml:space="preserve">Rol en el Protocolo</w:t>
            </w:r>
          </w:p>
        </w:tc>
        <w:tc>
          <w:tcPr>
            <w:tcW w:type="dxa" w:w="2496"/>
            <w:tcBorders>
              <w:top w:val="single" w:color="3D405B" w:sz="6"/>
              <w:left w:val="single" w:color="3D405B" w:sz="6"/>
              <w:bottom w:val="single" w:color="3D405B" w:sz="6"/>
              <w:right w:val="single" w:color="3D405B" w:sz="6"/>
            </w:tcBorders>
            <w:shd w:fill="3D405B" w:val="clear"/>
            <w:tcMar>
              <w:top w:type="dxa" w:w="100"/>
              <w:left w:type="dxa" w:w="140"/>
              <w:bottom w:type="dxa" w:w="100"/>
              <w:right w:type="dxa" w:w="140"/>
            </w:tcMar>
            <w:vAlign w:val="center"/>
          </w:tcPr>
          <w:p>
            <w:r>
              <w:rPr>
                <w:rFonts w:ascii="Arial" w:cs="Arial" w:eastAsia="Arial" w:hAnsi="Arial"/>
                <w:b/>
                <w:bCs/>
                <w:color w:val="FFFFFF"/>
                <w:sz w:val="18"/>
                <w:szCs w:val="18"/>
              </w:rPr>
              <w:t xml:space="preserve">Estructura de Alineación</w:t>
            </w:r>
          </w:p>
        </w:tc>
      </w:tr>
      <w:tr>
        <w:trPr>
          <w:tblHeader w:val="false"/>
        </w:trPr>
        <w:tc>
          <w:tcPr>
            <w:tcW w:type="dxa" w:w="1872"/>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Market Makers (MM)</w:t>
            </w:r>
          </w:p>
        </w:tc>
        <w:tc>
          <w:tcPr>
            <w:tcW w:type="dxa" w:w="1872"/>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Firmas especializadas en liquidez de Solana</w:t>
            </w:r>
          </w:p>
        </w:tc>
        <w:tc>
          <w:tcPr>
            <w:tcW w:type="dxa" w:w="3120"/>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Garantizar profundidad del pool en Meteora. Soportar el precio durante la etapa de bootstrapping (B0). Absorber volatilidad operativa del Motor A.</w:t>
            </w:r>
          </w:p>
        </w:tc>
        <w:tc>
          <w:tcPr>
            <w:tcW w:type="dxa" w:w="2496"/>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Asignados desde wallet Marketing/CEX (10% supply). Contrato con targets de TVL mínimo del pool.</w:t>
            </w:r>
          </w:p>
        </w:tc>
      </w:tr>
      <w:tr>
        <w:trPr>
          <w:tblHeader w:val="false"/>
        </w:trPr>
        <w:tc>
          <w:tcPr>
            <w:tcW w:type="dxa" w:w="1872"/>
            <w:tcBorders>
              <w:top w:val="single" w:color="DDDDDD" w:sz="6"/>
              <w:left w:val="single" w:color="DDDDDD" w:sz="6"/>
              <w:bottom w:val="single" w:color="DDDDDD" w:sz="6"/>
              <w:right w:val="single" w:color="DDDDDD" w:sz="6"/>
            </w:tcBorders>
            <w:shd w:fill="F8F5E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Red de KOLs — Jaguar Lock</w:t>
            </w:r>
          </w:p>
        </w:tc>
        <w:tc>
          <w:tcPr>
            <w:tcW w:type="dxa" w:w="1872"/>
            <w:tcBorders>
              <w:top w:val="single" w:color="DDDDDD" w:sz="6"/>
              <w:left w:val="single" w:color="DDDDDD" w:sz="6"/>
              <w:bottom w:val="single" w:color="DDDDDD" w:sz="6"/>
              <w:right w:val="single" w:color="DDDDDD" w:sz="6"/>
            </w:tcBorders>
            <w:shd w:fill="F8F5E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Creadores de contenido financiero latinoamericanos; comunidades DeFi en Solana</w:t>
            </w:r>
          </w:p>
        </w:tc>
        <w:tc>
          <w:tcPr>
            <w:tcW w:type="dxa" w:w="3120"/>
            <w:tcBorders>
              <w:top w:val="single" w:color="DDDDDD" w:sz="6"/>
              <w:left w:val="single" w:color="DDDDDD" w:sz="6"/>
              <w:bottom w:val="single" w:color="DDDDDD" w:sz="6"/>
              <w:right w:val="single" w:color="DDDDDD" w:sz="6"/>
            </w:tcBorders>
            <w:shd w:fill="F8F5E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Canal de adquisición primario. Generan volumen orgánico en Motor A. Educación del Funnel de Soberanía en su audiencia.</w:t>
            </w:r>
          </w:p>
        </w:tc>
        <w:tc>
          <w:tcPr>
            <w:tcW w:type="dxa" w:w="2496"/>
            <w:tcBorders>
              <w:top w:val="single" w:color="DDDDDD" w:sz="6"/>
              <w:left w:val="single" w:color="DDDDDD" w:sz="6"/>
              <w:bottom w:val="single" w:color="DDDDDD" w:sz="6"/>
              <w:right w:val="single" w:color="DDDDDD" w:sz="6"/>
            </w:tcBorders>
            <w:shd w:fill="F8F5E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Jaguar Lock: tokens con vesting por hitos de volumen generado. Incentivos alineados al largo plazo — sin dumping inmediato.</w:t>
            </w:r>
          </w:p>
        </w:tc>
      </w:tr>
      <w:tr>
        <w:trPr>
          <w:tblHeader w:val="false"/>
        </w:trPr>
        <w:tc>
          <w:tcPr>
            <w:tcW w:type="dxa" w:w="1872"/>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Protocolos RWA</w:t>
            </w:r>
          </w:p>
        </w:tc>
        <w:tc>
          <w:tcPr>
            <w:tcW w:type="dxa" w:w="1872"/>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Maple Finance, Centrifuge, Ondo Finance; emisores de crédito privado en cadena</w:t>
            </w:r>
          </w:p>
        </w:tc>
        <w:tc>
          <w:tcPr>
            <w:tcW w:type="dxa" w:w="3120"/>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Proveeder activos del mundo real tokenizados para las Manadas en Fase 3. Acceso colectivo a crédito privado ($18.9B+ en RWA activo).</w:t>
            </w:r>
          </w:p>
        </w:tc>
        <w:tc>
          <w:tcPr>
            <w:tcW w:type="dxa" w:w="2496"/>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Integración en Motor C (pagos USDC). Las Manadas invierten colectivamente en fracciones de activos RWA.</w:t>
            </w:r>
          </w:p>
        </w:tc>
      </w:tr>
      <w:tr>
        <w:trPr>
          <w:tblHeader w:val="false"/>
        </w:trPr>
        <w:tc>
          <w:tcPr>
            <w:tcW w:type="dxa" w:w="1872"/>
            <w:tcBorders>
              <w:top w:val="single" w:color="DDDDDD" w:sz="6"/>
              <w:left w:val="single" w:color="DDDDDD" w:sz="6"/>
              <w:bottom w:val="single" w:color="DDDDDD" w:sz="6"/>
              <w:right w:val="single" w:color="DDDDDD" w:sz="6"/>
            </w:tcBorders>
            <w:shd w:fill="F8F5E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Infraestructura Solana</w:t>
            </w:r>
          </w:p>
        </w:tc>
        <w:tc>
          <w:tcPr>
            <w:tcW w:type="dxa" w:w="1872"/>
            <w:tcBorders>
              <w:top w:val="single" w:color="DDDDDD" w:sz="6"/>
              <w:left w:val="single" w:color="DDDDDD" w:sz="6"/>
              <w:bottom w:val="single" w:color="DDDDDD" w:sz="6"/>
              <w:right w:val="single" w:color="DDDDDD" w:sz="6"/>
            </w:tcBorders>
            <w:shd w:fill="F8F5E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Pyth Network, Jupiter SDK, Meteora, Kamino/Marginfi, Sanctum, JitoSOL</w:t>
            </w:r>
          </w:p>
        </w:tc>
        <w:tc>
          <w:tcPr>
            <w:tcW w:type="dxa" w:w="3120"/>
            <w:tcBorders>
              <w:top w:val="single" w:color="DDDDDD" w:sz="6"/>
              <w:left w:val="single" w:color="DDDDDD" w:sz="6"/>
              <w:bottom w:val="single" w:color="DDDDDD" w:sz="6"/>
              <w:right w:val="single" w:color="DDDDDD" w:sz="6"/>
            </w:tcBorders>
            <w:shd w:fill="F8F5E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Pyth: datos de precio en tiempo real para LUKAI y Throttle. Jupiter: swaps atómicos de todos los motores. Kamino/Marginfi: yield del USDC ocioso.</w:t>
            </w:r>
          </w:p>
        </w:tc>
        <w:tc>
          <w:tcPr>
            <w:tcW w:type="dxa" w:w="2496"/>
            <w:tcBorders>
              <w:top w:val="single" w:color="DDDDDD" w:sz="6"/>
              <w:left w:val="single" w:color="DDDDDD" w:sz="6"/>
              <w:bottom w:val="single" w:color="DDDDDD" w:sz="6"/>
              <w:right w:val="single" w:color="DDDDDD" w:sz="6"/>
            </w:tcBorders>
            <w:shd w:fill="F8F5E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Integración técnica nativa. Sin dependencia de un único proveedor. Múltiples capas redundantes en cada función crítica.</w:t>
            </w:r>
          </w:p>
        </w:tc>
      </w:tr>
      <w:tr>
        <w:trPr>
          <w:tblHeader w:val="false"/>
        </w:trPr>
        <w:tc>
          <w:tcPr>
            <w:tcW w:type="dxa" w:w="1872"/>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Hub Regulatorio Estratégico</w:t>
            </w:r>
          </w:p>
        </w:tc>
        <w:tc>
          <w:tcPr>
            <w:tcW w:type="dxa" w:w="1872"/>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El Salvador (licencias DASP), Sandbox SFC Colombia, Estrategia Fintech México 2025–2030</w:t>
            </w:r>
          </w:p>
        </w:tc>
        <w:tc>
          <w:tcPr>
            <w:tcW w:type="dxa" w:w="3120"/>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Marco regulatorio favorable para el lanzamiento y la expansión. Licencias DASP en 3–6 meses. 0% impuestos sobre ganancias de capital en El Salvador.</w:t>
            </w:r>
          </w:p>
        </w:tc>
        <w:tc>
          <w:tcPr>
            <w:tcW w:type="dxa" w:w="2496"/>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Estructura legal adaptada por jurisdicción. Sandbox como canal de validación institucional para el protocolo.</w:t>
            </w:r>
          </w:p>
        </w:tc>
      </w:tr>
    </w:tbl>
    <w:p>
      <w:pPr>
        <w:spacing w:before="80" w:after="0"/>
      </w:pPr>
      <w:r>
        <w:t xml:space="preserve"/>
      </w:r>
    </w:p>
    <w:p>
      <w:pPr>
        <w:pStyle w:val="Heading2"/>
        <w:pBdr>
          <w:bottom w:val="single" w:color="C9A84C" w:sz="4" w:space="2"/>
        </w:pBdr>
        <w:spacing w:before="280" w:after="100"/>
      </w:pPr>
      <w:r>
        <w:rPr>
          <w:rFonts w:ascii="Arial" w:cs="Arial" w:eastAsia="Arial" w:hAnsi="Arial"/>
          <w:b/>
          <w:bCs/>
          <w:color w:val="2D6A4F"/>
          <w:sz w:val="26"/>
          <w:szCs w:val="26"/>
        </w:rPr>
        <w:t xml:space="preserve">9. ESTRUCTURA DE COSTOS</w:t>
      </w:r>
    </w:p>
    <w:p>
      <w:pPr>
        <w:spacing w:before="0" w:after="80"/>
      </w:pPr>
      <w:r>
        <w:rPr>
          <w:rFonts w:ascii="Arial" w:cs="Arial" w:eastAsia="Arial" w:hAnsi="Arial"/>
          <w:b/>
          <w:bCs/>
          <w:caps/>
          <w:color w:val="C9A84C"/>
          <w:sz w:val="18"/>
          <w:szCs w:val="18"/>
        </w:rPr>
        <w:t xml:space="preserve">Optimización Radical · Seguridad Matemática · CAC Viral</w:t>
      </w:r>
    </w:p>
    <w:p>
      <w:pPr>
        <w:spacing w:before="60" w:after="0"/>
      </w:pPr>
      <w:r>
        <w:t xml:space="preserve"/>
      </w:r>
    </w:p>
    <w:p>
      <w:pPr>
        <w:spacing w:before="60" w:after="80"/>
      </w:pPr>
      <w:r>
        <w:rPr>
          <w:rFonts w:ascii="Arial" w:cs="Arial" w:eastAsia="Arial" w:hAnsi="Arial"/>
          <w:color w:val="1A1A2E"/>
          <w:sz w:val="20"/>
          <w:szCs w:val="20"/>
        </w:rPr>
        <w:t xml:space="preserve">La estructura de costos del Protocolo LUKASH está optimizada en tres dimensiones: (1) infraestructura de red de costo mínimo en Solana, (2) escalamiento financiado exclusivamente por el Vault Sociedad sin dependencia de VCs, y (3) adquisición de usuarios mediante viralidad cultural orgánica — eliminando el CAC tradicional de los neobancos.</w:t>
      </w:r>
    </w:p>
    <w:p>
      <w:pPr>
        <w:spacing w:before="80" w:after="0"/>
      </w:pPr>
      <w:r>
        <w:t xml:space="preserve"/>
      </w:r>
    </w:p>
    <w:p>
      <w:pPr>
        <w:spacing w:before="200" w:after="60"/>
      </w:pPr>
      <w:r>
        <w:rPr>
          <w:rFonts w:ascii="Arial" w:cs="Arial" w:eastAsia="Arial" w:hAnsi="Arial"/>
          <w:b/>
          <w:bCs/>
          <w:color w:val="3D405B"/>
          <w:sz w:val="22"/>
          <w:szCs w:val="22"/>
        </w:rPr>
        <w:t xml:space="preserve">9.1 Comparativa de Eficiencia Operativa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872"/>
        <w:gridCol w:w="1872"/>
        <w:gridCol w:w="2496"/>
      </w:tblGrid>
      <w:tr>
        <w:trPr>
          <w:tblHeader/>
        </w:trPr>
        <w:tc>
          <w:tcPr>
            <w:tcW w:type="dxa" w:w="3120"/>
            <w:tcBorders>
              <w:top w:val="single" w:color="3D405B" w:sz="6"/>
              <w:left w:val="single" w:color="3D405B" w:sz="6"/>
              <w:bottom w:val="single" w:color="3D405B" w:sz="6"/>
              <w:right w:val="single" w:color="3D405B" w:sz="6"/>
            </w:tcBorders>
            <w:shd w:fill="3D405B" w:val="clear"/>
            <w:tcMar>
              <w:top w:type="dxa" w:w="100"/>
              <w:left w:type="dxa" w:w="140"/>
              <w:bottom w:type="dxa" w:w="100"/>
              <w:right w:type="dxa" w:w="140"/>
            </w:tcMar>
            <w:vAlign w:val="center"/>
          </w:tcPr>
          <w:p>
            <w:r>
              <w:rPr>
                <w:rFonts w:ascii="Arial" w:cs="Arial" w:eastAsia="Arial" w:hAnsi="Arial"/>
                <w:b/>
                <w:bCs/>
                <w:color w:val="FFFFFF"/>
                <w:sz w:val="18"/>
                <w:szCs w:val="18"/>
              </w:rPr>
              <w:t xml:space="preserve">Indicador</w:t>
            </w:r>
          </w:p>
        </w:tc>
        <w:tc>
          <w:tcPr>
            <w:tcW w:type="dxa" w:w="1872"/>
            <w:tcBorders>
              <w:top w:val="single" w:color="3D405B" w:sz="6"/>
              <w:left w:val="single" w:color="3D405B" w:sz="6"/>
              <w:bottom w:val="single" w:color="3D405B" w:sz="6"/>
              <w:right w:val="single" w:color="3D405B" w:sz="6"/>
            </w:tcBorders>
            <w:shd w:fill="3D405B" w:val="clear"/>
            <w:tcMar>
              <w:top w:type="dxa" w:w="100"/>
              <w:left w:type="dxa" w:w="140"/>
              <w:bottom w:type="dxa" w:w="100"/>
              <w:right w:type="dxa" w:w="140"/>
            </w:tcMar>
            <w:vAlign w:val="center"/>
          </w:tcPr>
          <w:p>
            <w:r>
              <w:rPr>
                <w:rFonts w:ascii="Arial" w:cs="Arial" w:eastAsia="Arial" w:hAnsi="Arial"/>
                <w:b/>
                <w:bCs/>
                <w:color w:val="FFFFFF"/>
                <w:sz w:val="18"/>
                <w:szCs w:val="18"/>
              </w:rPr>
              <w:t xml:space="preserve">Banca Tradicional (TradFi)</w:t>
            </w:r>
          </w:p>
        </w:tc>
        <w:tc>
          <w:tcPr>
            <w:tcW w:type="dxa" w:w="1872"/>
            <w:tcBorders>
              <w:top w:val="single" w:color="3D405B" w:sz="6"/>
              <w:left w:val="single" w:color="3D405B" w:sz="6"/>
              <w:bottom w:val="single" w:color="3D405B" w:sz="6"/>
              <w:right w:val="single" w:color="3D405B" w:sz="6"/>
            </w:tcBorders>
            <w:shd w:fill="3D405B" w:val="clear"/>
            <w:tcMar>
              <w:top w:type="dxa" w:w="100"/>
              <w:left w:type="dxa" w:w="140"/>
              <w:bottom w:type="dxa" w:w="100"/>
              <w:right w:type="dxa" w:w="140"/>
            </w:tcMar>
            <w:vAlign w:val="center"/>
          </w:tcPr>
          <w:p>
            <w:r>
              <w:rPr>
                <w:rFonts w:ascii="Arial" w:cs="Arial" w:eastAsia="Arial" w:hAnsi="Arial"/>
                <w:b/>
                <w:bCs/>
                <w:color w:val="FFFFFF"/>
                <w:sz w:val="18"/>
                <w:szCs w:val="18"/>
              </w:rPr>
              <w:t xml:space="preserve">Neobanco Digital Líder</w:t>
            </w:r>
          </w:p>
        </w:tc>
        <w:tc>
          <w:tcPr>
            <w:tcW w:type="dxa" w:w="2496"/>
            <w:tcBorders>
              <w:top w:val="single" w:color="3D405B" w:sz="6"/>
              <w:left w:val="single" w:color="3D405B" w:sz="6"/>
              <w:bottom w:val="single" w:color="3D405B" w:sz="6"/>
              <w:right w:val="single" w:color="3D405B" w:sz="6"/>
            </w:tcBorders>
            <w:shd w:fill="3D405B" w:val="clear"/>
            <w:tcMar>
              <w:top w:type="dxa" w:w="100"/>
              <w:left w:type="dxa" w:w="140"/>
              <w:bottom w:type="dxa" w:w="100"/>
              <w:right w:type="dxa" w:w="140"/>
            </w:tcMar>
            <w:vAlign w:val="center"/>
          </w:tcPr>
          <w:p>
            <w:r>
              <w:rPr>
                <w:rFonts w:ascii="Arial" w:cs="Arial" w:eastAsia="Arial" w:hAnsi="Arial"/>
                <w:b/>
                <w:bCs/>
                <w:color w:val="FFFFFF"/>
                <w:sz w:val="18"/>
                <w:szCs w:val="18"/>
              </w:rPr>
              <w:t xml:space="preserve">LUKASH (Proyectado)</w:t>
            </w:r>
          </w:p>
        </w:tc>
      </w:tr>
      <w:tr>
        <w:trPr>
          <w:tblHeader w:val="false"/>
        </w:trPr>
        <w:tc>
          <w:tcPr>
            <w:tcW w:type="dxa" w:w="3120"/>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Costo de Adquisición (CAC)</w:t>
            </w:r>
          </w:p>
        </w:tc>
        <w:tc>
          <w:tcPr>
            <w:tcW w:type="dxa" w:w="1872"/>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$150–$350 USD</w:t>
            </w:r>
          </w:p>
        </w:tc>
        <w:tc>
          <w:tcPr>
            <w:tcW w:type="dxa" w:w="1872"/>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$5–$15 USD</w:t>
            </w:r>
          </w:p>
        </w:tc>
        <w:tc>
          <w:tcPr>
            <w:tcW w:type="dxa" w:w="2496"/>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$3.00 USD</w:t>
            </w:r>
          </w:p>
        </w:tc>
      </w:tr>
      <w:tr>
        <w:trPr>
          <w:tblHeader w:val="false"/>
        </w:trPr>
        <w:tc>
          <w:tcPr>
            <w:tcW w:type="dxa" w:w="3120"/>
            <w:tcBorders>
              <w:top w:val="single" w:color="DDDDDD" w:sz="6"/>
              <w:left w:val="single" w:color="DDDDDD" w:sz="6"/>
              <w:bottom w:val="single" w:color="DDDDDD" w:sz="6"/>
              <w:right w:val="single" w:color="DDDDDD" w:sz="6"/>
            </w:tcBorders>
            <w:shd w:fill="F8F5E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Costo por Transacción</w:t>
            </w:r>
          </w:p>
        </w:tc>
        <w:tc>
          <w:tcPr>
            <w:tcW w:type="dxa" w:w="1872"/>
            <w:tcBorders>
              <w:top w:val="single" w:color="DDDDDD" w:sz="6"/>
              <w:left w:val="single" w:color="DDDDDD" w:sz="6"/>
              <w:bottom w:val="single" w:color="DDDDDD" w:sz="6"/>
              <w:right w:val="single" w:color="DDDDDD" w:sz="6"/>
            </w:tcBorders>
            <w:shd w:fill="F8F5E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$20–$65 USD (SWIFT internacional)</w:t>
            </w:r>
          </w:p>
        </w:tc>
        <w:tc>
          <w:tcPr>
            <w:tcW w:type="dxa" w:w="1872"/>
            <w:tcBorders>
              <w:top w:val="single" w:color="DDDDDD" w:sz="6"/>
              <w:left w:val="single" w:color="DDDDDD" w:sz="6"/>
              <w:bottom w:val="single" w:color="DDDDDD" w:sz="6"/>
              <w:right w:val="single" w:color="DDDDDD" w:sz="6"/>
            </w:tcBorders>
            <w:shd w:fill="F8F5E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$0.01–$0.05 USD</w:t>
            </w:r>
          </w:p>
        </w:tc>
        <w:tc>
          <w:tcPr>
            <w:tcW w:type="dxa" w:w="2496"/>
            <w:tcBorders>
              <w:top w:val="single" w:color="DDDDDD" w:sz="6"/>
              <w:left w:val="single" w:color="DDDDDD" w:sz="6"/>
              <w:bottom w:val="single" w:color="DDDDDD" w:sz="6"/>
              <w:right w:val="single" w:color="DDDDDD" w:sz="6"/>
            </w:tcBorders>
            <w:shd w:fill="F8F5E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$0.00025–$0.0005 USD (Solana)</w:t>
            </w:r>
          </w:p>
        </w:tc>
      </w:tr>
      <w:tr>
        <w:trPr>
          <w:tblHeader w:val="false"/>
        </w:trPr>
        <w:tc>
          <w:tcPr>
            <w:tcW w:type="dxa" w:w="3120"/>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Infraestructura de Red</w:t>
            </w:r>
          </w:p>
        </w:tc>
        <w:tc>
          <w:tcPr>
            <w:tcW w:type="dxa" w:w="1872"/>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Física + Digital. Alto CAPEX.</w:t>
            </w:r>
          </w:p>
        </w:tc>
        <w:tc>
          <w:tcPr>
            <w:tcW w:type="dxa" w:w="1872"/>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Digital. Servidores cloud.</w:t>
            </w:r>
          </w:p>
        </w:tc>
        <w:tc>
          <w:tcPr>
            <w:tcW w:type="dxa" w:w="2496"/>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Smart contracts en Solana. Costo marginal → $0 por escala.</w:t>
            </w:r>
          </w:p>
        </w:tc>
      </w:tr>
      <w:tr>
        <w:trPr>
          <w:tblHeader w:val="false"/>
        </w:trPr>
        <w:tc>
          <w:tcPr>
            <w:tcW w:type="dxa" w:w="3120"/>
            <w:tcBorders>
              <w:top w:val="single" w:color="DDDDDD" w:sz="6"/>
              <w:left w:val="single" w:color="DDDDDD" w:sz="6"/>
              <w:bottom w:val="single" w:color="DDDDDD" w:sz="6"/>
              <w:right w:val="single" w:color="DDDDDD" w:sz="6"/>
            </w:tcBorders>
            <w:shd w:fill="F8F5E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Soporte al Cliente</w:t>
            </w:r>
          </w:p>
        </w:tc>
        <w:tc>
          <w:tcPr>
            <w:tcW w:type="dxa" w:w="1872"/>
            <w:tcBorders>
              <w:top w:val="single" w:color="DDDDDD" w:sz="6"/>
              <w:left w:val="single" w:color="DDDDDD" w:sz="6"/>
              <w:bottom w:val="single" w:color="DDDDDD" w:sz="6"/>
              <w:right w:val="single" w:color="DDDDDD" w:sz="6"/>
            </w:tcBorders>
            <w:shd w:fill="F8F5E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Call center + oficinas</w:t>
            </w:r>
          </w:p>
        </w:tc>
        <w:tc>
          <w:tcPr>
            <w:tcW w:type="dxa" w:w="1872"/>
            <w:tcBorders>
              <w:top w:val="single" w:color="DDDDDD" w:sz="6"/>
              <w:left w:val="single" w:color="DDDDDD" w:sz="6"/>
              <w:bottom w:val="single" w:color="DDDDDD" w:sz="6"/>
              <w:right w:val="single" w:color="DDDDDD" w:sz="6"/>
            </w:tcBorders>
            <w:shd w:fill="F8F5E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Soporte digital con equipo humano</w:t>
            </w:r>
          </w:p>
        </w:tc>
        <w:tc>
          <w:tcPr>
            <w:tcW w:type="dxa" w:w="2496"/>
            <w:tcBorders>
              <w:top w:val="single" w:color="DDDDDD" w:sz="6"/>
              <w:left w:val="single" w:color="DDDDDD" w:sz="6"/>
              <w:bottom w:val="single" w:color="DDDDDD" w:sz="6"/>
              <w:right w:val="single" w:color="DDDDDD" w:sz="6"/>
            </w:tcBorders>
            <w:shd w:fill="F8F5E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LUKAI v3.1: IA conversacional 24/7. Costo de soporte = $0 por usuario.</w:t>
            </w:r>
          </w:p>
        </w:tc>
      </w:tr>
      <w:tr>
        <w:trPr>
          <w:tblHeader w:val="false"/>
        </w:trPr>
        <w:tc>
          <w:tcPr>
            <w:tcW w:type="dxa" w:w="3120"/>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Costo de Cumplimiento</w:t>
            </w:r>
          </w:p>
        </w:tc>
        <w:tc>
          <w:tcPr>
            <w:tcW w:type="dxa" w:w="1872"/>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Regulatorio complejo. Alto</w:t>
            </w:r>
          </w:p>
        </w:tc>
        <w:tc>
          <w:tcPr>
            <w:tcW w:type="dxa" w:w="1872"/>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Medio</w:t>
            </w:r>
          </w:p>
        </w:tc>
        <w:tc>
          <w:tcPr>
            <w:tcW w:type="dxa" w:w="2496"/>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Auditado on-chain. Vesting público. Costo de auditoría absorbido por Vault Sociedad.</w:t>
            </w:r>
          </w:p>
        </w:tc>
      </w:tr>
    </w:tbl>
    <w:p>
      <w:pPr>
        <w:spacing w:before="80" w:after="0"/>
      </w:pPr>
      <w:r>
        <w:t xml:space="preserve"/>
      </w:r>
    </w:p>
    <w:p>
      <w:pPr>
        <w:spacing w:before="200" w:after="60"/>
      </w:pPr>
      <w:r>
        <w:rPr>
          <w:rFonts w:ascii="Arial" w:cs="Arial" w:eastAsia="Arial" w:hAnsi="Arial"/>
          <w:b/>
          <w:bCs/>
          <w:color w:val="3D405B"/>
          <w:sz w:val="22"/>
          <w:szCs w:val="22"/>
        </w:rPr>
        <w:t xml:space="preserve">9.2 Presupuesto Inicial — Capital Requerido $800,000 USD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404"/>
        <w:gridCol w:w="936"/>
        <w:gridCol w:w="3900"/>
      </w:tblGrid>
      <w:tr>
        <w:trPr>
          <w:tblHeader/>
        </w:trPr>
        <w:tc>
          <w:tcPr>
            <w:tcW w:type="dxa" w:w="3120"/>
            <w:tcBorders>
              <w:top w:val="single" w:color="2D6A4F" w:sz="6"/>
              <w:left w:val="single" w:color="2D6A4F" w:sz="6"/>
              <w:bottom w:val="single" w:color="2D6A4F" w:sz="6"/>
              <w:right w:val="single" w:color="2D6A4F" w:sz="6"/>
            </w:tcBorders>
            <w:shd w:fill="2D6A4F" w:val="clear"/>
            <w:tcMar>
              <w:top w:type="dxa" w:w="100"/>
              <w:left w:type="dxa" w:w="140"/>
              <w:bottom w:type="dxa" w:w="100"/>
              <w:right w:type="dxa" w:w="140"/>
            </w:tcMar>
            <w:vAlign w:val="center"/>
          </w:tcPr>
          <w:p>
            <w:r>
              <w:rPr>
                <w:rFonts w:ascii="Arial" w:cs="Arial" w:eastAsia="Arial" w:hAnsi="Arial"/>
                <w:b/>
                <w:bCs/>
                <w:color w:val="FFFFFF"/>
                <w:sz w:val="18"/>
                <w:szCs w:val="18"/>
              </w:rPr>
              <w:t xml:space="preserve">Destino</w:t>
            </w:r>
          </w:p>
        </w:tc>
        <w:tc>
          <w:tcPr>
            <w:tcW w:type="dxa" w:w="1404"/>
            <w:tcBorders>
              <w:top w:val="single" w:color="2D6A4F" w:sz="6"/>
              <w:left w:val="single" w:color="2D6A4F" w:sz="6"/>
              <w:bottom w:val="single" w:color="2D6A4F" w:sz="6"/>
              <w:right w:val="single" w:color="2D6A4F" w:sz="6"/>
            </w:tcBorders>
            <w:shd w:fill="2D6A4F" w:val="clear"/>
            <w:tcMar>
              <w:top w:type="dxa" w:w="100"/>
              <w:left w:type="dxa" w:w="140"/>
              <w:bottom w:type="dxa" w:w="100"/>
              <w:right w:type="dxa" w:w="140"/>
            </w:tcMar>
            <w:vAlign w:val="center"/>
          </w:tcPr>
          <w:p>
            <w:r>
              <w:rPr>
                <w:rFonts w:ascii="Arial" w:cs="Arial" w:eastAsia="Arial" w:hAnsi="Arial"/>
                <w:b/>
                <w:bCs/>
                <w:color w:val="FFFFFF"/>
                <w:sz w:val="18"/>
                <w:szCs w:val="18"/>
              </w:rPr>
              <w:t xml:space="preserve">Monto</w:t>
            </w:r>
          </w:p>
        </w:tc>
        <w:tc>
          <w:tcPr>
            <w:tcW w:type="dxa" w:w="936"/>
            <w:tcBorders>
              <w:top w:val="single" w:color="2D6A4F" w:sz="6"/>
              <w:left w:val="single" w:color="2D6A4F" w:sz="6"/>
              <w:bottom w:val="single" w:color="2D6A4F" w:sz="6"/>
              <w:right w:val="single" w:color="2D6A4F" w:sz="6"/>
            </w:tcBorders>
            <w:shd w:fill="2D6A4F" w:val="clear"/>
            <w:tcMar>
              <w:top w:type="dxa" w:w="100"/>
              <w:left w:type="dxa" w:w="140"/>
              <w:bottom w:type="dxa" w:w="100"/>
              <w:right w:type="dxa" w:w="140"/>
            </w:tcMar>
            <w:vAlign w:val="center"/>
          </w:tcPr>
          <w:p>
            <w:r>
              <w:rPr>
                <w:rFonts w:ascii="Arial" w:cs="Arial" w:eastAsia="Arial" w:hAnsi="Arial"/>
                <w:b/>
                <w:bCs/>
                <w:color w:val="FFFFFF"/>
                <w:sz w:val="18"/>
                <w:szCs w:val="18"/>
              </w:rPr>
              <w:t xml:space="preserve">% del Total</w:t>
            </w:r>
          </w:p>
        </w:tc>
        <w:tc>
          <w:tcPr>
            <w:tcW w:type="dxa" w:w="3900"/>
            <w:tcBorders>
              <w:top w:val="single" w:color="2D6A4F" w:sz="6"/>
              <w:left w:val="single" w:color="2D6A4F" w:sz="6"/>
              <w:bottom w:val="single" w:color="2D6A4F" w:sz="6"/>
              <w:right w:val="single" w:color="2D6A4F" w:sz="6"/>
            </w:tcBorders>
            <w:shd w:fill="2D6A4F" w:val="clear"/>
            <w:tcMar>
              <w:top w:type="dxa" w:w="100"/>
              <w:left w:type="dxa" w:w="140"/>
              <w:bottom w:type="dxa" w:w="100"/>
              <w:right w:type="dxa" w:w="140"/>
            </w:tcMar>
            <w:vAlign w:val="center"/>
          </w:tcPr>
          <w:p>
            <w:r>
              <w:rPr>
                <w:rFonts w:ascii="Arial" w:cs="Arial" w:eastAsia="Arial" w:hAnsi="Arial"/>
                <w:b/>
                <w:bCs/>
                <w:color w:val="FFFFFF"/>
                <w:sz w:val="18"/>
                <w:szCs w:val="18"/>
              </w:rPr>
              <w:t xml:space="preserve">Función</w:t>
            </w:r>
          </w:p>
        </w:tc>
      </w:tr>
      <w:tr>
        <w:trPr>
          <w:tblHeader w:val="false"/>
        </w:trPr>
        <w:tc>
          <w:tcPr>
            <w:tcW w:type="dxa" w:w="3120"/>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Desarrollo Técnico (Smart Contracts + App)</w:t>
            </w:r>
          </w:p>
        </w:tc>
        <w:tc>
          <w:tcPr>
            <w:tcW w:type="dxa" w:w="1404"/>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$400,000</w:t>
            </w:r>
          </w:p>
        </w:tc>
        <w:tc>
          <w:tcPr>
            <w:tcW w:type="dxa" w:w="936"/>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50%</w:t>
            </w:r>
          </w:p>
        </w:tc>
        <w:tc>
          <w:tcPr>
            <w:tcW w:type="dxa" w:w="3900"/>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Arquitectura de los 4 Motores. LUKAI v3.1. Jaguar Shield. Auditoría de contratos.</w:t>
            </w:r>
          </w:p>
        </w:tc>
      </w:tr>
      <w:tr>
        <w:trPr>
          <w:tblHeader w:val="false"/>
        </w:trPr>
        <w:tc>
          <w:tcPr>
            <w:tcW w:type="dxa" w:w="3120"/>
            <w:tcBorders>
              <w:top w:val="single" w:color="DDDDDD" w:sz="6"/>
              <w:left w:val="single" w:color="DDDDDD" w:sz="6"/>
              <w:bottom w:val="single" w:color="DDDDDD" w:sz="6"/>
              <w:right w:val="single" w:color="DDDDDD" w:sz="6"/>
            </w:tcBorders>
            <w:shd w:fill="F8F5E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Pool de Liquidez Inicial (Meteora)</w:t>
            </w:r>
          </w:p>
        </w:tc>
        <w:tc>
          <w:tcPr>
            <w:tcW w:type="dxa" w:w="1404"/>
            <w:tcBorders>
              <w:top w:val="single" w:color="DDDDDD" w:sz="6"/>
              <w:left w:val="single" w:color="DDDDDD" w:sz="6"/>
              <w:bottom w:val="single" w:color="DDDDDD" w:sz="6"/>
              <w:right w:val="single" w:color="DDDDDD" w:sz="6"/>
            </w:tcBorders>
            <w:shd w:fill="F8F5E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$200,000</w:t>
            </w:r>
          </w:p>
        </w:tc>
        <w:tc>
          <w:tcPr>
            <w:tcW w:type="dxa" w:w="936"/>
            <w:tcBorders>
              <w:top w:val="single" w:color="DDDDDD" w:sz="6"/>
              <w:left w:val="single" w:color="DDDDDD" w:sz="6"/>
              <w:bottom w:val="single" w:color="DDDDDD" w:sz="6"/>
              <w:right w:val="single" w:color="DDDDDD" w:sz="6"/>
            </w:tcBorders>
            <w:shd w:fill="F8F5E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25%</w:t>
            </w:r>
          </w:p>
        </w:tc>
        <w:tc>
          <w:tcPr>
            <w:tcW w:type="dxa" w:w="3900"/>
            <w:tcBorders>
              <w:top w:val="single" w:color="DDDDDD" w:sz="6"/>
              <w:left w:val="single" w:color="DDDDDD" w:sz="6"/>
              <w:bottom w:val="single" w:color="DDDDDD" w:sz="6"/>
              <w:right w:val="single" w:color="DDDDDD" w:sz="6"/>
            </w:tcBorders>
            <w:shd w:fill="F8F5E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Soporte de trading desde TGE. LP Fundador 365d lock obligatorio.</w:t>
            </w:r>
          </w:p>
        </w:tc>
      </w:tr>
      <w:tr>
        <w:trPr>
          <w:tblHeader w:val="false"/>
        </w:trPr>
        <w:tc>
          <w:tcPr>
            <w:tcW w:type="dxa" w:w="3120"/>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Marketing / KOLs / Lanzamiento</w:t>
            </w:r>
          </w:p>
        </w:tc>
        <w:tc>
          <w:tcPr>
            <w:tcW w:type="dxa" w:w="1404"/>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$120,000</w:t>
            </w:r>
          </w:p>
        </w:tc>
        <w:tc>
          <w:tcPr>
            <w:tcW w:type="dxa" w:w="936"/>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15%</w:t>
            </w:r>
          </w:p>
        </w:tc>
        <w:tc>
          <w:tcPr>
            <w:tcW w:type="dxa" w:w="3900"/>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Activación de la red de KOLs bajo Jaguar Lock. Jungle Arena. Campaigns virales Fase 1.</w:t>
            </w:r>
          </w:p>
        </w:tc>
      </w:tr>
      <w:tr>
        <w:trPr>
          <w:tblHeader w:val="false"/>
        </w:trPr>
        <w:tc>
          <w:tcPr>
            <w:tcW w:type="dxa" w:w="3120"/>
            <w:tcBorders>
              <w:top w:val="single" w:color="DDDDDD" w:sz="6"/>
              <w:left w:val="single" w:color="DDDDDD" w:sz="6"/>
              <w:bottom w:val="single" w:color="DDDDDD" w:sz="6"/>
              <w:right w:val="single" w:color="DDDDDD" w:sz="6"/>
            </w:tcBorders>
            <w:shd w:fill="F8F5E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Operaciones y Reserva Legal</w:t>
            </w:r>
          </w:p>
        </w:tc>
        <w:tc>
          <w:tcPr>
            <w:tcW w:type="dxa" w:w="1404"/>
            <w:tcBorders>
              <w:top w:val="single" w:color="DDDDDD" w:sz="6"/>
              <w:left w:val="single" w:color="DDDDDD" w:sz="6"/>
              <w:bottom w:val="single" w:color="DDDDDD" w:sz="6"/>
              <w:right w:val="single" w:color="DDDDDD" w:sz="6"/>
            </w:tcBorders>
            <w:shd w:fill="F8F5E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$80,000</w:t>
            </w:r>
          </w:p>
        </w:tc>
        <w:tc>
          <w:tcPr>
            <w:tcW w:type="dxa" w:w="936"/>
            <w:tcBorders>
              <w:top w:val="single" w:color="DDDDDD" w:sz="6"/>
              <w:left w:val="single" w:color="DDDDDD" w:sz="6"/>
              <w:bottom w:val="single" w:color="DDDDDD" w:sz="6"/>
              <w:right w:val="single" w:color="DDDDDD" w:sz="6"/>
            </w:tcBorders>
            <w:shd w:fill="F8F5E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10%</w:t>
            </w:r>
          </w:p>
        </w:tc>
        <w:tc>
          <w:tcPr>
            <w:tcW w:type="dxa" w:w="3900"/>
            <w:tcBorders>
              <w:top w:val="single" w:color="DDDDDD" w:sz="6"/>
              <w:left w:val="single" w:color="DDDDDD" w:sz="6"/>
              <w:bottom w:val="single" w:color="DDDDDD" w:sz="6"/>
              <w:right w:val="single" w:color="DDDDDD" w:sz="6"/>
            </w:tcBorders>
            <w:shd w:fill="F8F5E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Estructura legal multi-jurisdicción. Licencias DASP. Contingencia operativa.</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7B39" w:sz="12"/>
              <w:left w:val="single" w:color="E07B39" w:sz="20"/>
              <w:bottom w:val="single" w:color="E07B39" w:sz="6"/>
              <w:right w:val="single" w:color="E07B39" w:sz="6"/>
            </w:tcBorders>
            <w:shd w:fill="FFF8E8" w:val="clear"/>
            <w:tcMar>
              <w:top w:type="dxa" w:w="140"/>
              <w:left w:type="dxa" w:w="200"/>
              <w:bottom w:type="dxa" w:w="140"/>
              <w:right w:type="dxa" w:w="200"/>
            </w:tcMar>
          </w:tcPr>
          <w:p>
            <w:r>
              <w:rPr>
                <w:rFonts w:ascii="Arial" w:cs="Arial" w:eastAsia="Arial" w:hAnsi="Arial"/>
                <w:b/>
                <w:bCs/>
                <w:color w:val="E07B39"/>
                <w:sz w:val="20"/>
                <w:szCs w:val="20"/>
              </w:rPr>
              <w:t xml:space="preserve">MECANISMO JAGUAR LOCK — Desembolso por Hitos Cumplidos</w:t>
            </w:r>
          </w:p>
          <w:p>
            <w:pPr>
              <w:spacing w:before="60"/>
            </w:pPr>
            <w:r>
              <w:rPr>
                <w:rFonts w:ascii="Arial" w:cs="Arial" w:eastAsia="Arial" w:hAnsi="Arial"/>
                <w:color w:val="1A1A2E"/>
                <w:sz w:val="19"/>
                <w:szCs w:val="19"/>
              </w:rPr>
              <w:t xml:space="preserve">El capital de $800,000 USD no se desembolsa en un solo pago. Se libera linealmente conforme se cumplen hitos de desarrollo técnico y de crecimiento del Vault verificables on-chain. Este mecanismo garantiza transparencia total para los inversionistas y elimina el riesgo de uso discrecional del capital.</w:t>
            </w:r>
          </w:p>
        </w:tc>
      </w:tr>
    </w:tbl>
    <w:p>
      <w:pPr>
        <w:spacing w:before="80" w:after="0"/>
      </w:pPr>
      <w:r>
        <w:t xml:space="preserve"/>
      </w:r>
    </w:p>
    <w:p>
      <w:pPr>
        <w:spacing w:before="200" w:after="60"/>
      </w:pPr>
      <w:r>
        <w:rPr>
          <w:rFonts w:ascii="Arial" w:cs="Arial" w:eastAsia="Arial" w:hAnsi="Arial"/>
          <w:b/>
          <w:bCs/>
          <w:color w:val="3D405B"/>
          <w:sz w:val="22"/>
          <w:szCs w:val="22"/>
        </w:rPr>
        <w:t xml:space="preserve">9.3 Sostenibilidad Autónoma — Sin Dependencia de VCs</w:t>
      </w:r>
    </w:p>
    <w:p>
      <w:pPr>
        <w:spacing w:before="60" w:after="80"/>
      </w:pPr>
      <w:r>
        <w:rPr>
          <w:rFonts w:ascii="Arial" w:cs="Arial" w:eastAsia="Arial" w:hAnsi="Arial"/>
          <w:color w:val="1A1A2E"/>
          <w:sz w:val="20"/>
          <w:szCs w:val="20"/>
        </w:rPr>
        <w:t xml:space="preserve">El escalamiento tecnológico y el mantenimiento del protocolo a partir de la Etapa 2 se financian exclusivamente mediante una fracción de los activos acumulados en el Vault Sociedad durante la Etapa 1. La infraestructura crece en proporción directa al éxito del protocolo, sin comprometer la reserva soberana del KASH Core ni diluir a los socios fundadores.</w:t>
      </w:r>
    </w:p>
    <w:p>
      <w:pPr>
        <w:spacing w:before="80" w:after="0"/>
      </w:pPr>
      <w:r>
        <w:t xml:space="preserve"/>
      </w:r>
    </w:p>
    <w:p>
      <w:pPr>
        <w:pStyle w:val="Heading2"/>
        <w:pBdr>
          <w:bottom w:val="single" w:color="C9A84C" w:sz="4" w:space="2"/>
        </w:pBdr>
        <w:spacing w:before="280" w:after="100"/>
      </w:pPr>
      <w:r>
        <w:rPr>
          <w:rFonts w:ascii="Arial" w:cs="Arial" w:eastAsia="Arial" w:hAnsi="Arial"/>
          <w:b/>
          <w:bCs/>
          <w:color w:val="2D6A4F"/>
          <w:sz w:val="26"/>
          <w:szCs w:val="26"/>
        </w:rPr>
        <w:t xml:space="preserve">10. VALIDACIÓN MATEMÁTICA — SIMULACIÓN MONTE CARLO</w:t>
      </w:r>
    </w:p>
    <w:p>
      <w:pPr>
        <w:spacing w:before="0" w:after="80"/>
      </w:pPr>
      <w:r>
        <w:rPr>
          <w:rFonts w:ascii="Arial" w:cs="Arial" w:eastAsia="Arial" w:hAnsi="Arial"/>
          <w:b/>
          <w:bCs/>
          <w:caps/>
          <w:color w:val="C9A84C"/>
          <w:sz w:val="18"/>
          <w:szCs w:val="18"/>
        </w:rPr>
        <w:t xml:space="preserve">5,000 Iteraciones · 1,825 Días · Cadenas de Markov · Supply 3.3B</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2D6A4F" w:sz="6"/>
              <w:left w:val="single" w:color="2D6A4F" w:sz="6"/>
              <w:bottom w:val="single" w:color="2D6A4F" w:sz="6"/>
              <w:right w:val="single" w:color="2D6A4F" w:sz="6"/>
            </w:tcBorders>
            <w:shd w:fill="2D6A4F" w:val="clear"/>
            <w:tcMar>
              <w:top w:type="dxa" w:w="100"/>
              <w:left w:type="dxa" w:w="140"/>
              <w:bottom w:type="dxa" w:w="100"/>
              <w:right w:type="dxa" w:w="140"/>
            </w:tcMar>
            <w:vAlign w:val="center"/>
          </w:tcPr>
          <w:p>
            <w:r>
              <w:rPr>
                <w:rFonts w:ascii="Arial" w:cs="Arial" w:eastAsia="Arial" w:hAnsi="Arial"/>
                <w:b/>
                <w:bCs/>
                <w:color w:val="FFFFFF"/>
                <w:sz w:val="18"/>
                <w:szCs w:val="18"/>
              </w:rPr>
              <w:t xml:space="preserve">Métrica Clave</w:t>
            </w:r>
          </w:p>
        </w:tc>
        <w:tc>
          <w:tcPr>
            <w:tcW w:type="dxa" w:w="4680"/>
            <w:tcBorders>
              <w:top w:val="single" w:color="2D6A4F" w:sz="6"/>
              <w:left w:val="single" w:color="2D6A4F" w:sz="6"/>
              <w:bottom w:val="single" w:color="2D6A4F" w:sz="6"/>
              <w:right w:val="single" w:color="2D6A4F" w:sz="6"/>
            </w:tcBorders>
            <w:shd w:fill="2D6A4F" w:val="clear"/>
            <w:tcMar>
              <w:top w:type="dxa" w:w="100"/>
              <w:left w:type="dxa" w:w="140"/>
              <w:bottom w:type="dxa" w:w="100"/>
              <w:right w:type="dxa" w:w="140"/>
            </w:tcMar>
            <w:vAlign w:val="center"/>
          </w:tcPr>
          <w:p>
            <w:r>
              <w:rPr>
                <w:rFonts w:ascii="Arial" w:cs="Arial" w:eastAsia="Arial" w:hAnsi="Arial"/>
                <w:b/>
                <w:bCs/>
                <w:color w:val="FFFFFF"/>
                <w:sz w:val="18"/>
                <w:szCs w:val="18"/>
              </w:rPr>
              <w:t xml:space="preserve">Resultado</w:t>
            </w:r>
          </w:p>
        </w:tc>
      </w:tr>
      <w:tr>
        <w:trPr>
          <w:tblHeader w:val="false"/>
        </w:trPr>
        <w:tc>
          <w:tcPr>
            <w:tcW w:type="dxa" w:w="4680"/>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Vault Mediana (5 años)</w:t>
            </w:r>
          </w:p>
        </w:tc>
        <w:tc>
          <w:tcPr>
            <w:tcW w:type="dxa" w:w="4680"/>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$37.2M</w:t>
            </w:r>
          </w:p>
        </w:tc>
      </w:tr>
      <w:tr>
        <w:trPr>
          <w:tblHeader w:val="false"/>
        </w:trPr>
        <w:tc>
          <w:tcPr>
            <w:tcW w:type="dxa" w:w="4680"/>
            <w:tcBorders>
              <w:top w:val="single" w:color="DDDDDD" w:sz="6"/>
              <w:left w:val="single" w:color="DDDDDD" w:sz="6"/>
              <w:bottom w:val="single" w:color="DDDDDD" w:sz="6"/>
              <w:right w:val="single" w:color="DDDDDD" w:sz="6"/>
            </w:tcBorders>
            <w:shd w:fill="F8F5E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Rango P25–P75 (5 años)</w:t>
            </w:r>
          </w:p>
        </w:tc>
        <w:tc>
          <w:tcPr>
            <w:tcW w:type="dxa" w:w="4680"/>
            <w:tcBorders>
              <w:top w:val="single" w:color="DDDDDD" w:sz="6"/>
              <w:left w:val="single" w:color="DDDDDD" w:sz="6"/>
              <w:bottom w:val="single" w:color="DDDDDD" w:sz="6"/>
              <w:right w:val="single" w:color="DDDDDD" w:sz="6"/>
            </w:tcBorders>
            <w:shd w:fill="F8F5E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$18.9M – $67.1M</w:t>
            </w:r>
          </w:p>
        </w:tc>
      </w:tr>
      <w:tr>
        <w:trPr>
          <w:tblHeader w:val="false"/>
        </w:trPr>
        <w:tc>
          <w:tcPr>
            <w:tcW w:type="dxa" w:w="4680"/>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P(Motor B2 activo antes del Año 2)</w:t>
            </w:r>
          </w:p>
        </w:tc>
        <w:tc>
          <w:tcPr>
            <w:tcW w:type="dxa" w:w="4680"/>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86.1%</w:t>
            </w:r>
          </w:p>
        </w:tc>
      </w:tr>
      <w:tr>
        <w:trPr>
          <w:tblHeader w:val="false"/>
        </w:trPr>
        <w:tc>
          <w:tcPr>
            <w:tcW w:type="dxa" w:w="4680"/>
            <w:tcBorders>
              <w:top w:val="single" w:color="DDDDDD" w:sz="6"/>
              <w:left w:val="single" w:color="DDDDDD" w:sz="6"/>
              <w:bottom w:val="single" w:color="DDDDDD" w:sz="6"/>
              <w:right w:val="single" w:color="DDDDDD" w:sz="6"/>
            </w:tcBorders>
            <w:shd w:fill="F8F5E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Riesgo de Ruina Total (Vault &lt; 10% capital inicial)</w:t>
            </w:r>
          </w:p>
        </w:tc>
        <w:tc>
          <w:tcPr>
            <w:tcW w:type="dxa" w:w="4680"/>
            <w:tcBorders>
              <w:top w:val="single" w:color="DDDDDD" w:sz="6"/>
              <w:left w:val="single" w:color="DDDDDD" w:sz="6"/>
              <w:bottom w:val="single" w:color="DDDDDD" w:sz="6"/>
              <w:right w:val="single" w:color="DDDDDD" w:sz="6"/>
            </w:tcBorders>
            <w:shd w:fill="F8F5E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0.0% — en las 5,000 trayectorias simuladas</w:t>
            </w:r>
          </w:p>
        </w:tc>
      </w:tr>
      <w:tr>
        <w:trPr>
          <w:tblHeader w:val="false"/>
        </w:trPr>
        <w:tc>
          <w:tcPr>
            <w:tcW w:type="dxa" w:w="4680"/>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Probabilidad de Espiral de Muerte (con Jaguar Shield)</w:t>
            </w:r>
          </w:p>
        </w:tc>
        <w:tc>
          <w:tcPr>
            <w:tcW w:type="dxa" w:w="4680"/>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1.4%</w:t>
            </w:r>
          </w:p>
        </w:tc>
      </w:tr>
      <w:tr>
        <w:trPr>
          <w:tblHeader w:val="false"/>
        </w:trPr>
        <w:tc>
          <w:tcPr>
            <w:tcW w:type="dxa" w:w="4680"/>
            <w:tcBorders>
              <w:top w:val="single" w:color="DDDDDD" w:sz="6"/>
              <w:left w:val="single" w:color="DDDDDD" w:sz="6"/>
              <w:bottom w:val="single" w:color="DDDDDD" w:sz="6"/>
              <w:right w:val="single" w:color="DDDDDD" w:sz="6"/>
            </w:tcBorders>
            <w:shd w:fill="F8F5E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Supply Objetivo Alcanzable</w:t>
            </w:r>
          </w:p>
        </w:tc>
        <w:tc>
          <w:tcPr>
            <w:tcW w:type="dxa" w:w="4680"/>
            <w:tcBorders>
              <w:top w:val="single" w:color="DDDDDD" w:sz="6"/>
              <w:left w:val="single" w:color="DDDDDD" w:sz="6"/>
              <w:bottom w:val="single" w:color="DDDDDD" w:sz="6"/>
              <w:right w:val="single" w:color="DDDDDD" w:sz="6"/>
            </w:tcBorders>
            <w:shd w:fill="F8F5E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Año 1 bajo cualquier régimen de mercado activo</w:t>
            </w:r>
          </w:p>
        </w:tc>
      </w:tr>
      <w:tr>
        <w:trPr>
          <w:tblHeader w:val="false"/>
        </w:trPr>
        <w:tc>
          <w:tcPr>
            <w:tcW w:type="dxa" w:w="4680"/>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Precio KASH a 5 años (mediana)</w:t>
            </w:r>
          </w:p>
        </w:tc>
        <w:tc>
          <w:tcPr>
            <w:tcW w:type="dxa" w:w="4680"/>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$0.0113 = 113x vs. TGE ($0.0001)</w:t>
            </w:r>
          </w:p>
        </w:tc>
      </w:tr>
      <w:tr>
        <w:trPr>
          <w:tblHeader w:val="false"/>
        </w:trPr>
        <w:tc>
          <w:tcPr>
            <w:tcW w:type="dxa" w:w="4680"/>
            <w:tcBorders>
              <w:top w:val="single" w:color="DDDDDD" w:sz="6"/>
              <w:left w:val="single" w:color="DDDDDD" w:sz="6"/>
              <w:bottom w:val="single" w:color="DDDDDD" w:sz="6"/>
              <w:right w:val="single" w:color="DDDDDD" w:sz="6"/>
            </w:tcBorders>
            <w:shd w:fill="F8F5E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Ventaja del Módulo Contra-Cíclico</w:t>
            </w:r>
          </w:p>
        </w:tc>
        <w:tc>
          <w:tcPr>
            <w:tcW w:type="dxa" w:w="4680"/>
            <w:tcBorders>
              <w:top w:val="single" w:color="DDDDDD" w:sz="6"/>
              <w:left w:val="single" w:color="DDDDDD" w:sz="6"/>
              <w:bottom w:val="single" w:color="DDDDDD" w:sz="6"/>
              <w:right w:val="single" w:color="DDDDDD" w:sz="6"/>
            </w:tcBorders>
            <w:shd w:fill="F8F5E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+22–23% en Vault final vs. proporciones fijas (ciclo BEAR→BULL 4 años)</w:t>
            </w:r>
          </w:p>
        </w:tc>
      </w:tr>
    </w:tbl>
    <w:p>
      <w:pPr>
        <w:spacing w:before="80" w:after="0"/>
      </w:pPr>
      <w:r>
        <w:t xml:space="preserve"/>
      </w:r>
    </w:p>
    <w:p>
      <w:pPr>
        <w:spacing w:before="200" w:after="60"/>
      </w:pPr>
      <w:r>
        <w:rPr>
          <w:rFonts w:ascii="Arial" w:cs="Arial" w:eastAsia="Arial" w:hAnsi="Arial"/>
          <w:b/>
          <w:bCs/>
          <w:color w:val="3D405B"/>
          <w:sz w:val="22"/>
          <w:szCs w:val="22"/>
        </w:rPr>
        <w:t xml:space="preserve">10.1 Hitos de Inversión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52"/>
        <w:gridCol w:w="2574"/>
        <w:gridCol w:w="2574"/>
      </w:tblGrid>
      <w:tr>
        <w:trPr>
          <w:tblHeader/>
        </w:trPr>
        <w:tc>
          <w:tcPr>
            <w:tcW w:type="dxa" w:w="1560"/>
            <w:tcBorders>
              <w:top w:val="single" w:color="3D405B" w:sz="6"/>
              <w:left w:val="single" w:color="3D405B" w:sz="6"/>
              <w:bottom w:val="single" w:color="3D405B" w:sz="6"/>
              <w:right w:val="single" w:color="3D405B" w:sz="6"/>
            </w:tcBorders>
            <w:shd w:fill="3D405B" w:val="clear"/>
            <w:tcMar>
              <w:top w:type="dxa" w:w="100"/>
              <w:left w:type="dxa" w:w="140"/>
              <w:bottom w:type="dxa" w:w="100"/>
              <w:right w:type="dxa" w:w="140"/>
            </w:tcMar>
            <w:vAlign w:val="center"/>
          </w:tcPr>
          <w:p>
            <w:r>
              <w:rPr>
                <w:rFonts w:ascii="Arial" w:cs="Arial" w:eastAsia="Arial" w:hAnsi="Arial"/>
                <w:b/>
                <w:bCs/>
                <w:color w:val="FFFFFF"/>
                <w:sz w:val="18"/>
                <w:szCs w:val="18"/>
              </w:rPr>
              <w:t xml:space="preserve">Hito</w:t>
            </w:r>
          </w:p>
        </w:tc>
        <w:tc>
          <w:tcPr>
            <w:tcW w:type="dxa" w:w="2652"/>
            <w:tcBorders>
              <w:top w:val="single" w:color="3D405B" w:sz="6"/>
              <w:left w:val="single" w:color="3D405B" w:sz="6"/>
              <w:bottom w:val="single" w:color="3D405B" w:sz="6"/>
              <w:right w:val="single" w:color="3D405B" w:sz="6"/>
            </w:tcBorders>
            <w:shd w:fill="3D405B" w:val="clear"/>
            <w:tcMar>
              <w:top w:type="dxa" w:w="100"/>
              <w:left w:type="dxa" w:w="140"/>
              <w:bottom w:type="dxa" w:w="100"/>
              <w:right w:type="dxa" w:w="140"/>
            </w:tcMar>
            <w:vAlign w:val="center"/>
          </w:tcPr>
          <w:p>
            <w:r>
              <w:rPr>
                <w:rFonts w:ascii="Arial" w:cs="Arial" w:eastAsia="Arial" w:hAnsi="Arial"/>
                <w:b/>
                <w:bCs/>
                <w:color w:val="FFFFFF"/>
                <w:sz w:val="18"/>
                <w:szCs w:val="18"/>
              </w:rPr>
              <w:t xml:space="preserve">Métrica</w:t>
            </w:r>
          </w:p>
        </w:tc>
        <w:tc>
          <w:tcPr>
            <w:tcW w:type="dxa" w:w="2574"/>
            <w:tcBorders>
              <w:top w:val="single" w:color="3D405B" w:sz="6"/>
              <w:left w:val="single" w:color="3D405B" w:sz="6"/>
              <w:bottom w:val="single" w:color="3D405B" w:sz="6"/>
              <w:right w:val="single" w:color="3D405B" w:sz="6"/>
            </w:tcBorders>
            <w:shd w:fill="3D405B" w:val="clear"/>
            <w:tcMar>
              <w:top w:type="dxa" w:w="100"/>
              <w:left w:type="dxa" w:w="140"/>
              <w:bottom w:type="dxa" w:w="100"/>
              <w:right w:type="dxa" w:w="140"/>
            </w:tcMar>
            <w:vAlign w:val="center"/>
          </w:tcPr>
          <w:p>
            <w:r>
              <w:rPr>
                <w:rFonts w:ascii="Arial" w:cs="Arial" w:eastAsia="Arial" w:hAnsi="Arial"/>
                <w:b/>
                <w:bCs/>
                <w:color w:val="FFFFFF"/>
                <w:sz w:val="18"/>
                <w:szCs w:val="18"/>
              </w:rPr>
              <w:t xml:space="preserve">Plazo (Simulación Base)</w:t>
            </w:r>
          </w:p>
        </w:tc>
        <w:tc>
          <w:tcPr>
            <w:tcW w:type="dxa" w:w="2574"/>
            <w:tcBorders>
              <w:top w:val="single" w:color="3D405B" w:sz="6"/>
              <w:left w:val="single" w:color="3D405B" w:sz="6"/>
              <w:bottom w:val="single" w:color="3D405B" w:sz="6"/>
              <w:right w:val="single" w:color="3D405B" w:sz="6"/>
            </w:tcBorders>
            <w:shd w:fill="3D405B" w:val="clear"/>
            <w:tcMar>
              <w:top w:type="dxa" w:w="100"/>
              <w:left w:type="dxa" w:w="140"/>
              <w:bottom w:type="dxa" w:w="100"/>
              <w:right w:type="dxa" w:w="140"/>
            </w:tcMar>
            <w:vAlign w:val="center"/>
          </w:tcPr>
          <w:p>
            <w:r>
              <w:rPr>
                <w:rFonts w:ascii="Arial" w:cs="Arial" w:eastAsia="Arial" w:hAnsi="Arial"/>
                <w:b/>
                <w:bCs/>
                <w:color w:val="FFFFFF"/>
                <w:sz w:val="18"/>
                <w:szCs w:val="18"/>
              </w:rPr>
              <w:t xml:space="preserve">Plazo (Con Aliados de Volumen)</w:t>
            </w:r>
          </w:p>
        </w:tc>
      </w:tr>
      <w:tr>
        <w:trPr>
          <w:tblHeader w:val="false"/>
        </w:trPr>
        <w:tc>
          <w:tcPr>
            <w:tcW w:type="dxa" w:w="1560"/>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Hito 1 — K_min</w:t>
            </w:r>
          </w:p>
        </w:tc>
        <w:tc>
          <w:tcPr>
            <w:tcW w:type="dxa" w:w="2652"/>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$25M en Vault Core. Motor B2 activado.</w:t>
            </w:r>
          </w:p>
        </w:tc>
        <w:tc>
          <w:tcPr>
            <w:tcW w:type="dxa" w:w="2574"/>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 24 meses</w:t>
            </w:r>
          </w:p>
        </w:tc>
        <w:tc>
          <w:tcPr>
            <w:tcW w:type="dxa" w:w="2574"/>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 12 meses</w:t>
            </w:r>
          </w:p>
        </w:tc>
      </w:tr>
      <w:tr>
        <w:trPr>
          <w:tblHeader w:val="false"/>
        </w:trPr>
        <w:tc>
          <w:tcPr>
            <w:tcW w:type="dxa" w:w="1560"/>
            <w:tcBorders>
              <w:top w:val="single" w:color="DDDDDD" w:sz="6"/>
              <w:left w:val="single" w:color="DDDDDD" w:sz="6"/>
              <w:bottom w:val="single" w:color="DDDDDD" w:sz="6"/>
              <w:right w:val="single" w:color="DDDDDD" w:sz="6"/>
            </w:tcBorders>
            <w:shd w:fill="F8F5E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Hito 2 — K_activación</w:t>
            </w:r>
          </w:p>
        </w:tc>
        <w:tc>
          <w:tcPr>
            <w:tcW w:type="dxa" w:w="2652"/>
            <w:tcBorders>
              <w:top w:val="single" w:color="DDDDDD" w:sz="6"/>
              <w:left w:val="single" w:color="DDDDDD" w:sz="6"/>
              <w:bottom w:val="single" w:color="DDDDDD" w:sz="6"/>
              <w:right w:val="single" w:color="DDDDDD" w:sz="6"/>
            </w:tcBorders>
            <w:shd w:fill="F8F5E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$30M en Vault Core O 12 meses. Jaguar Lock activo.</w:t>
            </w:r>
          </w:p>
        </w:tc>
        <w:tc>
          <w:tcPr>
            <w:tcW w:type="dxa" w:w="2574"/>
            <w:tcBorders>
              <w:top w:val="single" w:color="DDDDDD" w:sz="6"/>
              <w:left w:val="single" w:color="DDDDDD" w:sz="6"/>
              <w:bottom w:val="single" w:color="DDDDDD" w:sz="6"/>
              <w:right w:val="single" w:color="DDDDDD" w:sz="6"/>
            </w:tcBorders>
            <w:shd w:fill="F8F5E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Mes 12–18</w:t>
            </w:r>
          </w:p>
        </w:tc>
        <w:tc>
          <w:tcPr>
            <w:tcW w:type="dxa" w:w="2574"/>
            <w:tcBorders>
              <w:top w:val="single" w:color="DDDDDD" w:sz="6"/>
              <w:left w:val="single" w:color="DDDDDD" w:sz="6"/>
              <w:bottom w:val="single" w:color="DDDDDD" w:sz="6"/>
              <w:right w:val="single" w:color="DDDDDD" w:sz="6"/>
            </w:tcBorders>
            <w:shd w:fill="F8F5E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Mes 6–12</w:t>
            </w:r>
          </w:p>
        </w:tc>
      </w:tr>
      <w:tr>
        <w:trPr>
          <w:tblHeader w:val="false"/>
        </w:trPr>
        <w:tc>
          <w:tcPr>
            <w:tcW w:type="dxa" w:w="1560"/>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Hito 3 — Distribución</w:t>
            </w:r>
          </w:p>
        </w:tc>
        <w:tc>
          <w:tcPr>
            <w:tcW w:type="dxa" w:w="2652"/>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Distribución líquida perpetua a socios (30% fees KASH Sociedad)</w:t>
            </w:r>
          </w:p>
        </w:tc>
        <w:tc>
          <w:tcPr>
            <w:tcW w:type="dxa" w:w="2574"/>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Mes 13+</w:t>
            </w:r>
          </w:p>
        </w:tc>
        <w:tc>
          <w:tcPr>
            <w:tcW w:type="dxa" w:w="2574"/>
            <w:tcBorders>
              <w:top w:val="single" w:color="DDDDDD" w:sz="6"/>
              <w:left w:val="single" w:color="DDDDDD" w:sz="6"/>
              <w:bottom w:val="single" w:color="DDDDDD" w:sz="6"/>
              <w:right w:val="single" w:color="DDDDDD" w:sz="6"/>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Mes 13+</w:t>
            </w:r>
          </w:p>
        </w:tc>
      </w:tr>
      <w:tr>
        <w:trPr>
          <w:tblHeader w:val="false"/>
        </w:trPr>
        <w:tc>
          <w:tcPr>
            <w:tcW w:type="dxa" w:w="1560"/>
            <w:tcBorders>
              <w:top w:val="single" w:color="DDDDDD" w:sz="6"/>
              <w:left w:val="single" w:color="DDDDDD" w:sz="6"/>
              <w:bottom w:val="single" w:color="DDDDDD" w:sz="6"/>
              <w:right w:val="single" w:color="DDDDDD" w:sz="6"/>
            </w:tcBorders>
            <w:shd w:fill="F8F5E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Hito 4 — Escala Total</w:t>
            </w:r>
          </w:p>
        </w:tc>
        <w:tc>
          <w:tcPr>
            <w:tcW w:type="dxa" w:w="2652"/>
            <w:tcBorders>
              <w:top w:val="single" w:color="DDDDDD" w:sz="6"/>
              <w:left w:val="single" w:color="DDDDDD" w:sz="6"/>
              <w:bottom w:val="single" w:color="DDDDDD" w:sz="6"/>
              <w:right w:val="single" w:color="DDDDDD" w:sz="6"/>
            </w:tcBorders>
            <w:shd w:fill="F8F5E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$100M en Vault. Emisión Neta Cero. Motor C activo.</w:t>
            </w:r>
          </w:p>
        </w:tc>
        <w:tc>
          <w:tcPr>
            <w:tcW w:type="dxa" w:w="2574"/>
            <w:tcBorders>
              <w:top w:val="single" w:color="DDDDDD" w:sz="6"/>
              <w:left w:val="single" w:color="DDDDDD" w:sz="6"/>
              <w:bottom w:val="single" w:color="DDDDDD" w:sz="6"/>
              <w:right w:val="single" w:color="DDDDDD" w:sz="6"/>
            </w:tcBorders>
            <w:shd w:fill="F8F5E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 36 meses</w:t>
            </w:r>
          </w:p>
        </w:tc>
        <w:tc>
          <w:tcPr>
            <w:tcW w:type="dxa" w:w="2574"/>
            <w:tcBorders>
              <w:top w:val="single" w:color="DDDDDD" w:sz="6"/>
              <w:left w:val="single" w:color="DDDDDD" w:sz="6"/>
              <w:bottom w:val="single" w:color="DDDDDD" w:sz="6"/>
              <w:right w:val="single" w:color="DDDDDD" w:sz="6"/>
            </w:tcBorders>
            <w:shd w:fill="F8F5EF" w:val="clear"/>
            <w:tcMar>
              <w:top w:type="dxa" w:w="100"/>
              <w:left w:type="dxa" w:w="140"/>
              <w:bottom w:type="dxa" w:w="100"/>
              <w:right w:type="dxa" w:w="140"/>
            </w:tcMar>
            <w:vAlign w:val="center"/>
          </w:tcPr>
          <w:p>
            <w:r>
              <w:rPr>
                <w:rFonts w:ascii="Arial" w:cs="Arial" w:eastAsia="Arial" w:hAnsi="Arial"/>
                <w:b w:val="false"/>
                <w:bCs w:val="false"/>
                <w:color w:val="1A1A2E"/>
                <w:sz w:val="19"/>
                <w:szCs w:val="19"/>
              </w:rPr>
              <w:t xml:space="preserve">≤ 24 meses</w:t>
            </w:r>
          </w:p>
        </w:tc>
      </w:tr>
    </w:tbl>
    <w:p>
      <w:pPr>
        <w:spacing w:before="80" w:after="0"/>
      </w:pPr>
      <w:r>
        <w:t xml:space="preserve"/>
      </w:r>
    </w:p>
    <w:p>
      <w:pPr>
        <w:spacing w:before="200" w:after="0"/>
      </w:pPr>
      <w:r>
        <w:t xml:space="preserve"/>
      </w:r>
    </w:p>
    <w:p>
      <w:pPr>
        <w:pBdr>
          <w:top w:val="single" w:color="C9A84C" w:sz="6" w:space="4"/>
        </w:pBdr>
        <w:spacing w:before="120" w:after="60"/>
        <w:jc w:val="center"/>
      </w:pPr>
      <w:r>
        <w:rPr>
          <w:rFonts w:ascii="Arial" w:cs="Arial" w:eastAsia="Arial" w:hAnsi="Arial"/>
          <w:b/>
          <w:bCs/>
          <w:caps/>
          <w:color w:val="3D405B"/>
          <w:sz w:val="17"/>
          <w:szCs w:val="17"/>
        </w:rPr>
        <w:t xml:space="preserve">LUKASH PROTOCOL v3.1 — CONFIDENCIAL | USO EXCLUSIVO PARA INVERSORES</w:t>
      </w:r>
    </w:p>
    <w:p>
      <w:pPr>
        <w:jc w:val="center"/>
      </w:pPr>
      <w:r>
        <w:rPr>
          <w:rFonts w:ascii="Arial" w:cs="Arial" w:eastAsia="Arial" w:hAnsi="Arial"/>
          <w:i/>
          <w:iCs/>
          <w:color w:val="888888"/>
          <w:sz w:val="16"/>
          <w:szCs w:val="16"/>
        </w:rPr>
        <w:t xml:space="preserve">Simulación Monte Carlo: 5,000 iteraciones · 1,825 días · Riesgo de Ruina: 0.0% · Marzo 2026</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space="2"/>
      </w:pBdr>
    </w:pPr>
    <w:r>
      <w:rPr>
        <w:rFonts w:ascii="Arial" w:cs="Arial" w:eastAsia="Arial" w:hAnsi="Arial"/>
        <w:color w:val="888888"/>
        <w:sz w:val="16"/>
        <w:szCs w:val="16"/>
      </w:rPr>
      <w:t xml:space="preserve">© 2026 Ing. Sebastián Botero Pabón — Protocolo LUKASH v3.1  |  Pág.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2"/>
      </w:pBdr>
    </w:pPr>
    <w:r>
      <w:rPr>
        <w:rFonts w:ascii="Arial" w:cs="Arial" w:eastAsia="Arial" w:hAnsi="Arial"/>
        <w:color w:val="888888"/>
        <w:sz w:val="16"/>
        <w:szCs w:val="16"/>
      </w:rPr>
      <w:t xml:space="preserve">LUKASH PROTOCOL  |  Business Model Canvas v2.0  |  CONFIDENCIAL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2D6A4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2026-03-04T05:40:31.446Z</dcterms:created>
  <dcterms:modified xsi:type="dcterms:W3CDTF">2026-03-04T05:40:31.448Z</dcterms:modified>
</cp:coreProperties>
</file>

<file path=docProps/custom.xml><?xml version="1.0" encoding="utf-8"?>
<Properties xmlns="http://schemas.openxmlformats.org/officeDocument/2006/custom-properties" xmlns:vt="http://schemas.openxmlformats.org/officeDocument/2006/docPropsVTypes"/>
</file>