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B34E" w14:textId="77777777" w:rsidR="00680C45" w:rsidRPr="00680C45" w:rsidRDefault="00680C45" w:rsidP="00680C45">
      <w:pPr>
        <w:rPr>
          <w:b/>
          <w:bCs/>
        </w:rPr>
      </w:pPr>
      <w:r w:rsidRPr="00680C45">
        <w:rPr>
          <w:b/>
          <w:bCs/>
        </w:rPr>
        <w:t xml:space="preserve">Estrategia de Soberanía Bancaria </w:t>
      </w:r>
      <w:proofErr w:type="spellStart"/>
      <w:r w:rsidRPr="00680C45">
        <w:rPr>
          <w:b/>
          <w:bCs/>
        </w:rPr>
        <w:t>Gamificada</w:t>
      </w:r>
      <w:proofErr w:type="spellEnd"/>
      <w:r w:rsidRPr="00680C45">
        <w:rPr>
          <w:b/>
          <w:bCs/>
        </w:rPr>
        <w:t>: Informe de Validación y Análisis de Mercado para el Protocolo LUKASH (2025-2030)</w:t>
      </w:r>
    </w:p>
    <w:p w14:paraId="48409D63" w14:textId="77777777" w:rsidR="00680C45" w:rsidRPr="00680C45" w:rsidRDefault="00680C45" w:rsidP="00680C45">
      <w:r w:rsidRPr="00680C45">
        <w:t xml:space="preserve">El ecosistema financiero global se encuentra en una coyuntura crítica donde la infraestructura tradicional, lastrada por modelos de reserva fraccionaria y procesos analógicos, colisiona con una nueva generación de usuarios que demanda soberanía, transparencia y compromiso digital. El presente reporte, elaborado por un equipo multidisciplinar de estrategia </w:t>
      </w:r>
      <w:proofErr w:type="spellStart"/>
      <w:r w:rsidRPr="00680C45">
        <w:t>fintech</w:t>
      </w:r>
      <w:proofErr w:type="spellEnd"/>
      <w:r w:rsidRPr="00680C45">
        <w:t>, análisis de datos y capital de riesgo, tiene como propósito fundamental validar la tesis de inversión del Protocolo LUKASH ante inversores institucionales. A través de una investigación exhaustiva que abarca el periodo 2023-2025, se analizan los fallos sistémicos de la banca tradicional, la ineficiencia de los modelos cripto puramente especulativos y la viabilidad económica del Estándar KASH como una solución disruptiva para los mercados emergentes.</w:t>
      </w:r>
    </w:p>
    <w:p w14:paraId="71E2C816" w14:textId="77777777" w:rsidR="00680C45" w:rsidRPr="00680C45" w:rsidRDefault="00680C45" w:rsidP="00680C45">
      <w:pPr>
        <w:rPr>
          <w:b/>
          <w:bCs/>
        </w:rPr>
      </w:pPr>
      <w:r w:rsidRPr="00680C45">
        <w:rPr>
          <w:b/>
          <w:bCs/>
        </w:rPr>
        <w:t>Fase 1: El Problema — El "Impuesto Invisible" de la Exclusión en LATAM</w:t>
      </w:r>
    </w:p>
    <w:p w14:paraId="2422EE21" w14:textId="77777777" w:rsidR="00680C45" w:rsidRPr="00680C45" w:rsidRDefault="00680C45" w:rsidP="00680C45">
      <w:r w:rsidRPr="00680C45">
        <w:t>El análisis del sistema financiero contemporáneo revela una falla estructural en la preservación del valor y la autonomía del usuario. Mientras que las instituciones financieras tradicionales (</w:t>
      </w:r>
      <w:proofErr w:type="spellStart"/>
      <w:r w:rsidRPr="00680C45">
        <w:t>TradFi</w:t>
      </w:r>
      <w:proofErr w:type="spellEnd"/>
      <w:r w:rsidRPr="00680C45">
        <w:t>) operan bajo marcos de reserva fraccionaria que diluyen la soberanía del depositante, el mercado de activos digitales ha derivado en una economía extractiva de corto plazo donde el tiempo de retención de activos colapsó de 300 a solo 100 segundos en 2024-2025.</w:t>
      </w:r>
    </w:p>
    <w:p w14:paraId="6B161E75" w14:textId="77777777" w:rsidR="00680C45" w:rsidRPr="00680C45" w:rsidRDefault="00680C45" w:rsidP="00680C45">
      <w:pPr>
        <w:rPr>
          <w:b/>
          <w:bCs/>
        </w:rPr>
      </w:pPr>
      <w:r w:rsidRPr="00680C45">
        <w:rPr>
          <w:b/>
          <w:bCs/>
        </w:rPr>
        <w:t xml:space="preserve">La Paradoja de la </w:t>
      </w:r>
      <w:proofErr w:type="spellStart"/>
      <w:r w:rsidRPr="00680C45">
        <w:rPr>
          <w:b/>
          <w:bCs/>
        </w:rPr>
        <w:t>Sub-bancarización</w:t>
      </w:r>
      <w:proofErr w:type="spellEnd"/>
    </w:p>
    <w:p w14:paraId="4A9B70BB" w14:textId="77777777" w:rsidR="00680C45" w:rsidRPr="00680C45" w:rsidRDefault="00680C45" w:rsidP="00680C45">
      <w:r w:rsidRPr="00680C45">
        <w:t>Latinoamérica vive un fenómeno de inclusión superficial. Aunque el acceso a cuentas ha crecido, el acceso a bienestar financiero real (crédito e inversión) permanece bloqueado:</w:t>
      </w:r>
    </w:p>
    <w:p w14:paraId="48408415" w14:textId="77777777" w:rsidR="00680C45" w:rsidRPr="00680C45" w:rsidRDefault="00680C45" w:rsidP="00680C45">
      <w:pPr>
        <w:numPr>
          <w:ilvl w:val="0"/>
          <w:numId w:val="1"/>
        </w:numPr>
      </w:pPr>
      <w:r w:rsidRPr="00680C45">
        <w:rPr>
          <w:b/>
          <w:bCs/>
        </w:rPr>
        <w:t>Colombia:</w:t>
      </w:r>
      <w:r w:rsidRPr="00680C45">
        <w:t xml:space="preserve"> El 95.8% de los adultos posee un producto de depósito, pero el acceso al crédito formal está estancado en solo un </w:t>
      </w:r>
      <w:r w:rsidRPr="00680C45">
        <w:rPr>
          <w:b/>
          <w:bCs/>
        </w:rPr>
        <w:t>35.5%</w:t>
      </w:r>
      <w:r w:rsidRPr="00680C45">
        <w:t>.</w:t>
      </w:r>
    </w:p>
    <w:p w14:paraId="6E1804C6" w14:textId="77777777" w:rsidR="00680C45" w:rsidRPr="00680C45" w:rsidRDefault="00680C45" w:rsidP="00680C45">
      <w:pPr>
        <w:numPr>
          <w:ilvl w:val="0"/>
          <w:numId w:val="1"/>
        </w:numPr>
      </w:pPr>
      <w:r w:rsidRPr="00680C45">
        <w:rPr>
          <w:b/>
          <w:bCs/>
        </w:rPr>
        <w:t>México:</w:t>
      </w:r>
      <w:r w:rsidRPr="00680C45">
        <w:t xml:space="preserve"> Según la ENIF 2024, el 76.5% de la población cuenta con algún producto financiero, pero existe una disparidad regional masiva; en el Sur, la inclusión cae al </w:t>
      </w:r>
      <w:r w:rsidRPr="00680C45">
        <w:rPr>
          <w:b/>
          <w:bCs/>
        </w:rPr>
        <w:t>67.7%</w:t>
      </w:r>
      <w:r w:rsidRPr="00680C45">
        <w:t xml:space="preserve">. El acceso al crédito formal es de apenas un </w:t>
      </w:r>
      <w:r w:rsidRPr="00680C45">
        <w:rPr>
          <w:b/>
          <w:bCs/>
        </w:rPr>
        <w:t>37.3%</w:t>
      </w:r>
      <w:r w:rsidRPr="00680C45">
        <w:t>.</w:t>
      </w:r>
    </w:p>
    <w:p w14:paraId="2A7C1665" w14:textId="77777777" w:rsidR="00680C45" w:rsidRPr="00680C45" w:rsidRDefault="00680C45" w:rsidP="00680C45">
      <w:pPr>
        <w:numPr>
          <w:ilvl w:val="0"/>
          <w:numId w:val="1"/>
        </w:numPr>
      </w:pPr>
      <w:r w:rsidRPr="00680C45">
        <w:rPr>
          <w:b/>
          <w:bCs/>
        </w:rPr>
        <w:t>Barreras Sistémicas:</w:t>
      </w:r>
      <w:r w:rsidRPr="00680C45">
        <w:t xml:space="preserve"> El 20.7% de los mexicanos excluidos del crédito citan como barrera principal el incumplimiento de requisitos tradicionales. En áreas rurales de Colombia, solo </w:t>
      </w:r>
      <w:r w:rsidRPr="00680C45">
        <w:rPr>
          <w:b/>
          <w:bCs/>
        </w:rPr>
        <w:t>1 de cada 5 jóvenes (20%)</w:t>
      </w:r>
      <w:r w:rsidRPr="00680C45">
        <w:t xml:space="preserve"> tiene acceso a productos de depósito.</w:t>
      </w:r>
    </w:p>
    <w:p w14:paraId="7573DAE8" w14:textId="77777777" w:rsidR="00680C45" w:rsidRPr="00680C45" w:rsidRDefault="00680C45" w:rsidP="00680C45">
      <w:r w:rsidRPr="00680C45">
        <w:rPr>
          <w:b/>
          <w:bCs/>
        </w:rPr>
        <w:t>Argumento de Venta:</w:t>
      </w:r>
      <w:r w:rsidRPr="00680C45">
        <w:t xml:space="preserve"> LUKASH no compite por "abrir cuentas", sino por la "utilidad del capital". Resolvemos el "Impuesto Invisible de la Exclusión" capturando a los jóvenes rurales e informales que tienen </w:t>
      </w:r>
      <w:proofErr w:type="gramStart"/>
      <w:r w:rsidRPr="00680C45">
        <w:t>internet</w:t>
      </w:r>
      <w:proofErr w:type="gramEnd"/>
      <w:r w:rsidRPr="00680C45">
        <w:t xml:space="preserve"> pero son rechazados por la banca física.</w:t>
      </w:r>
    </w:p>
    <w:p w14:paraId="78A1FBA7" w14:textId="77777777" w:rsidR="00680C45" w:rsidRPr="00680C45" w:rsidRDefault="00680C45" w:rsidP="00680C45">
      <w:r w:rsidRPr="00680C45">
        <w:rPr>
          <w:b/>
          <w:bCs/>
        </w:rPr>
        <w:t>Analogía Simplificada:</w:t>
      </w:r>
      <w:r w:rsidRPr="00680C45">
        <w:t xml:space="preserve"> Estar bancarizado en LATAM hoy es como tener una tarjeta de biblioteca en una ciudad sin libros; tienes el acceso, pero no puedes consumir el conocimiento (capital). LUKASH es la biblioteca digital que entrega el contenido (soberanía) directamente al usuario.</w:t>
      </w:r>
    </w:p>
    <w:p w14:paraId="79401BCB" w14:textId="77777777" w:rsidR="00680C45" w:rsidRPr="00680C45" w:rsidRDefault="00680C45" w:rsidP="00680C45">
      <w:pPr>
        <w:rPr>
          <w:b/>
          <w:bCs/>
        </w:rPr>
      </w:pPr>
      <w:r w:rsidRPr="00680C45">
        <w:rPr>
          <w:b/>
          <w:bCs/>
        </w:rPr>
        <w:t>El Abismo de la Educación Financiera y el Riesgo "</w:t>
      </w:r>
      <w:proofErr w:type="spellStart"/>
      <w:r w:rsidRPr="00680C45">
        <w:rPr>
          <w:b/>
          <w:bCs/>
        </w:rPr>
        <w:t>Finfluencer</w:t>
      </w:r>
      <w:proofErr w:type="spellEnd"/>
      <w:r w:rsidRPr="00680C45">
        <w:rPr>
          <w:b/>
          <w:bCs/>
        </w:rPr>
        <w:t>"</w:t>
      </w:r>
    </w:p>
    <w:p w14:paraId="2B772AC4" w14:textId="77777777" w:rsidR="00680C45" w:rsidRPr="00680C45" w:rsidRDefault="00680C45" w:rsidP="00680C45">
      <w:r w:rsidRPr="00680C45">
        <w:t xml:space="preserve">La desconexión emocional de la Generación Z y los </w:t>
      </w:r>
      <w:proofErr w:type="spellStart"/>
      <w:r w:rsidRPr="00680C45">
        <w:t>Millennials</w:t>
      </w:r>
      <w:proofErr w:type="spellEnd"/>
      <w:r w:rsidRPr="00680C45">
        <w:t xml:space="preserve"> con la banca tradicional es total. Los jóvenes perciben las interfaces bancarias como herramientas aburridas e intimidantes.</w:t>
      </w:r>
    </w:p>
    <w:p w14:paraId="15B069F6" w14:textId="77777777" w:rsidR="00680C45" w:rsidRPr="00680C45" w:rsidRDefault="00680C45" w:rsidP="00680C45">
      <w:pPr>
        <w:numPr>
          <w:ilvl w:val="0"/>
          <w:numId w:val="2"/>
        </w:numPr>
      </w:pPr>
      <w:r w:rsidRPr="00680C45">
        <w:rPr>
          <w:b/>
          <w:bCs/>
        </w:rPr>
        <w:t>Dependencia de Redes:</w:t>
      </w:r>
      <w:r w:rsidRPr="00680C45">
        <w:t xml:space="preserve"> El 76% de la Generación Z busca consejos financieros en redes sociales como TikTok e Instagram. El contenido #FinTok supera los </w:t>
      </w:r>
      <w:r w:rsidRPr="00680C45">
        <w:rPr>
          <w:b/>
          <w:bCs/>
        </w:rPr>
        <w:t>1.4 mil millones de visitas</w:t>
      </w:r>
      <w:r w:rsidRPr="00680C45">
        <w:t>.</w:t>
      </w:r>
    </w:p>
    <w:p w14:paraId="2BDDC428" w14:textId="77777777" w:rsidR="00680C45" w:rsidRPr="00680C45" w:rsidRDefault="00680C45" w:rsidP="00680C45">
      <w:pPr>
        <w:numPr>
          <w:ilvl w:val="0"/>
          <w:numId w:val="2"/>
        </w:numPr>
      </w:pPr>
      <w:r w:rsidRPr="00680C45">
        <w:rPr>
          <w:b/>
          <w:bCs/>
        </w:rPr>
        <w:lastRenderedPageBreak/>
        <w:t>Vulnerabilidad Extrema:</w:t>
      </w:r>
      <w:r w:rsidRPr="00680C45">
        <w:t xml:space="preserve"> En 2024, la FTC reportó que el </w:t>
      </w:r>
      <w:r w:rsidRPr="00680C45">
        <w:rPr>
          <w:b/>
          <w:bCs/>
        </w:rPr>
        <w:t>70%</w:t>
      </w:r>
      <w:r w:rsidRPr="00680C45">
        <w:t xml:space="preserve"> de las personas estafadas fueron contactadas vía redes sociales, con pérdidas totales de </w:t>
      </w:r>
      <w:r w:rsidRPr="00680C45">
        <w:rPr>
          <w:b/>
          <w:bCs/>
        </w:rPr>
        <w:t>$1.9 mil millones de dólares</w:t>
      </w:r>
      <w:r w:rsidRPr="00680C45">
        <w:t>. Los jóvenes de 20 a 29 años pierden dinero con mayor frecuencia que los adultos mayores por falta de herramientas seguras.</w:t>
      </w:r>
    </w:p>
    <w:p w14:paraId="75BAF870" w14:textId="77777777" w:rsidR="00680C45" w:rsidRPr="00680C45" w:rsidRDefault="00680C45" w:rsidP="00680C45">
      <w:r w:rsidRPr="00680C45">
        <w:rPr>
          <w:b/>
          <w:bCs/>
        </w:rPr>
        <w:t>Argumento de Venta:</w:t>
      </w:r>
      <w:r w:rsidRPr="00680C45">
        <w:t xml:space="preserve"> LUKASH sustituye el algoritmo azaroso de TikTok por </w:t>
      </w:r>
      <w:r w:rsidRPr="00680C45">
        <w:rPr>
          <w:b/>
          <w:bCs/>
        </w:rPr>
        <w:t>LUKAI</w:t>
      </w:r>
      <w:r w:rsidRPr="00680C45">
        <w:t xml:space="preserve">, un sabio mentor de IA que proporciona educación adaptativa verificada </w:t>
      </w:r>
      <w:proofErr w:type="spellStart"/>
      <w:r w:rsidRPr="00680C45">
        <w:t>on-chain</w:t>
      </w:r>
      <w:proofErr w:type="spellEnd"/>
      <w:r w:rsidRPr="00680C45">
        <w:t>. Transformamos el "consejo viral" en "estrategia soberana", eliminando la pérdida de capital por desinformación.</w:t>
      </w:r>
    </w:p>
    <w:p w14:paraId="20D9CC96" w14:textId="77777777" w:rsidR="00680C45" w:rsidRPr="00680C45" w:rsidRDefault="00680C45" w:rsidP="00680C45">
      <w:pPr>
        <w:rPr>
          <w:b/>
          <w:bCs/>
        </w:rPr>
      </w:pPr>
      <w:r w:rsidRPr="00680C45">
        <w:rPr>
          <w:b/>
          <w:bCs/>
        </w:rPr>
        <w:t>Ineficiencia de la Infraestructura SWIFT</w:t>
      </w:r>
    </w:p>
    <w:p w14:paraId="5E8A5F8C" w14:textId="77777777" w:rsidR="00680C45" w:rsidRPr="00680C45" w:rsidRDefault="00680C45" w:rsidP="00680C45">
      <w:r w:rsidRPr="00680C45">
        <w:t xml:space="preserve">La banca tradicional en LATAM sigue siendo onerosa. Las transferencias internacionales tardan de 1 a 5 días hábiles con comisiones de </w:t>
      </w:r>
      <w:r w:rsidRPr="00680C45">
        <w:rPr>
          <w:b/>
          <w:bCs/>
        </w:rPr>
        <w:t>$20 a $65 USD</w:t>
      </w:r>
      <w:r w:rsidRPr="00680C45">
        <w:t xml:space="preserve"> y recargos cambiarios del 2% al 4%. Los bancos siguen siendo el canal más caro para remesas con un costo promedio del </w:t>
      </w:r>
      <w:r w:rsidRPr="00680C45">
        <w:rPr>
          <w:b/>
          <w:bCs/>
        </w:rPr>
        <w:t>13.40%</w:t>
      </w:r>
      <w:r w:rsidRPr="00680C45">
        <w:t>.</w:t>
      </w:r>
    </w:p>
    <w:p w14:paraId="7D805B84" w14:textId="77777777" w:rsidR="00680C45" w:rsidRPr="00680C45" w:rsidRDefault="00680C45" w:rsidP="00680C45">
      <w:r w:rsidRPr="00680C45">
        <w:t xml:space="preserve">Solana procesa transacciones con finalidad de </w:t>
      </w:r>
      <w:proofErr w:type="spellStart"/>
      <w:r w:rsidRPr="00680C45">
        <w:t>sub-segundo</w:t>
      </w:r>
      <w:proofErr w:type="spellEnd"/>
      <w:r w:rsidRPr="00680C45">
        <w:t xml:space="preserve"> y costos promedio de </w:t>
      </w:r>
      <w:r w:rsidRPr="00680C45">
        <w:rPr>
          <w:b/>
          <w:bCs/>
        </w:rPr>
        <w:t>$0.00025 a $0.0005 USD</w:t>
      </w:r>
      <w:r w:rsidRPr="00680C45">
        <w:t>.</w:t>
      </w:r>
    </w:p>
    <w:p w14:paraId="4043D91B" w14:textId="77777777" w:rsidR="00680C45" w:rsidRPr="00680C45" w:rsidRDefault="00680C45" w:rsidP="00680C45">
      <w:r w:rsidRPr="00680C45">
        <w:pict w14:anchorId="39C9AF80">
          <v:rect id="_x0000_i1055" style="width:0;height:1.5pt" o:hralign="center" o:hrstd="t" o:hrnoshade="t" o:hr="t" fillcolor="gray" stroked="f"/>
        </w:pict>
      </w:r>
    </w:p>
    <w:p w14:paraId="05ECA7EB" w14:textId="77777777" w:rsidR="00680C45" w:rsidRPr="00680C45" w:rsidRDefault="00680C45" w:rsidP="00680C45">
      <w:pPr>
        <w:rPr>
          <w:b/>
          <w:bCs/>
        </w:rPr>
      </w:pPr>
      <w:r w:rsidRPr="00680C45">
        <w:rPr>
          <w:b/>
          <w:bCs/>
        </w:rPr>
        <w:t xml:space="preserve">Fase 2: </w:t>
      </w:r>
      <w:proofErr w:type="spellStart"/>
      <w:r w:rsidRPr="00680C45">
        <w:rPr>
          <w:b/>
          <w:bCs/>
        </w:rPr>
        <w:t>Unit</w:t>
      </w:r>
      <w:proofErr w:type="spellEnd"/>
      <w:r w:rsidRPr="00680C45">
        <w:rPr>
          <w:b/>
          <w:bCs/>
        </w:rPr>
        <w:t xml:space="preserve"> </w:t>
      </w:r>
      <w:proofErr w:type="spellStart"/>
      <w:r w:rsidRPr="00680C45">
        <w:rPr>
          <w:b/>
          <w:bCs/>
        </w:rPr>
        <w:t>Economics</w:t>
      </w:r>
      <w:proofErr w:type="spellEnd"/>
      <w:r w:rsidRPr="00680C45">
        <w:rPr>
          <w:b/>
          <w:bCs/>
        </w:rPr>
        <w:t xml:space="preserve"> — La Ciencia de la Rentabilidad Digital</w:t>
      </w:r>
    </w:p>
    <w:p w14:paraId="62F2A44E" w14:textId="77777777" w:rsidR="00680C45" w:rsidRPr="00680C45" w:rsidRDefault="00680C45" w:rsidP="00680C45">
      <w:pPr>
        <w:rPr>
          <w:b/>
          <w:bCs/>
        </w:rPr>
      </w:pPr>
      <w:proofErr w:type="spellStart"/>
      <w:r w:rsidRPr="00680C45">
        <w:rPr>
          <w:b/>
          <w:bCs/>
        </w:rPr>
        <w:t>Benchmark</w:t>
      </w:r>
      <w:proofErr w:type="spellEnd"/>
      <w:r w:rsidRPr="00680C45">
        <w:rPr>
          <w:b/>
          <w:bCs/>
        </w:rPr>
        <w:t xml:space="preserve"> de CAC: El Poder de la Adquisición Orgánica</w:t>
      </w:r>
    </w:p>
    <w:p w14:paraId="11963E8C" w14:textId="77777777" w:rsidR="00680C45" w:rsidRPr="00680C45" w:rsidRDefault="00680C45" w:rsidP="00680C45">
      <w:r w:rsidRPr="00680C45">
        <w:t>El Costo de Adquisición de Cliente (CAC) es el indicador crítico de supervivencia en 2024-2025:</w:t>
      </w:r>
    </w:p>
    <w:p w14:paraId="4BEA3E26" w14:textId="77777777" w:rsidR="00680C45" w:rsidRPr="00680C45" w:rsidRDefault="00680C45" w:rsidP="00680C45">
      <w:pPr>
        <w:numPr>
          <w:ilvl w:val="0"/>
          <w:numId w:val="3"/>
        </w:numPr>
      </w:pPr>
      <w:r w:rsidRPr="00680C45">
        <w:rPr>
          <w:b/>
          <w:bCs/>
        </w:rPr>
        <w:t>Bancos Tradicionales:</w:t>
      </w:r>
      <w:r w:rsidRPr="00680C45">
        <w:t xml:space="preserve"> Enfrentan un CAC de entre </w:t>
      </w:r>
      <w:r w:rsidRPr="00680C45">
        <w:rPr>
          <w:b/>
          <w:bCs/>
        </w:rPr>
        <w:t>$150 y $350 USD</w:t>
      </w:r>
      <w:r w:rsidRPr="00680C45">
        <w:t xml:space="preserve"> debido a infraestructura física, burocracia y marketing masivo.</w:t>
      </w:r>
    </w:p>
    <w:p w14:paraId="745F27F8" w14:textId="77777777" w:rsidR="00680C45" w:rsidRPr="00680C45" w:rsidRDefault="00680C45" w:rsidP="00680C45">
      <w:pPr>
        <w:numPr>
          <w:ilvl w:val="0"/>
          <w:numId w:val="3"/>
        </w:numPr>
      </w:pPr>
      <w:proofErr w:type="spellStart"/>
      <w:r w:rsidRPr="00680C45">
        <w:rPr>
          <w:b/>
          <w:bCs/>
        </w:rPr>
        <w:t>Neobancos</w:t>
      </w:r>
      <w:proofErr w:type="spellEnd"/>
      <w:r w:rsidRPr="00680C45">
        <w:rPr>
          <w:b/>
          <w:bCs/>
        </w:rPr>
        <w:t xml:space="preserve"> Digitales:</w:t>
      </w:r>
      <w:r w:rsidRPr="00680C45">
        <w:t xml:space="preserve"> Han optimizado este costo al rango de </w:t>
      </w:r>
      <w:r w:rsidRPr="00680C45">
        <w:rPr>
          <w:b/>
          <w:bCs/>
        </w:rPr>
        <w:t>$5 a $15 USD</w:t>
      </w:r>
      <w:r w:rsidRPr="00680C45">
        <w:t>.</w:t>
      </w:r>
    </w:p>
    <w:p w14:paraId="018D5214" w14:textId="77777777" w:rsidR="00680C45" w:rsidRPr="00680C45" w:rsidRDefault="00680C45" w:rsidP="00680C45">
      <w:pPr>
        <w:numPr>
          <w:ilvl w:val="0"/>
          <w:numId w:val="3"/>
        </w:numPr>
      </w:pPr>
      <w:r w:rsidRPr="00680C45">
        <w:rPr>
          <w:b/>
          <w:bCs/>
        </w:rPr>
        <w:t>LUKASH (Proyectado):</w:t>
      </w:r>
      <w:r w:rsidRPr="00680C45">
        <w:t xml:space="preserve"> Apunta a un CAC de </w:t>
      </w:r>
      <w:r w:rsidRPr="00680C45">
        <w:rPr>
          <w:b/>
          <w:bCs/>
        </w:rPr>
        <w:t>$3.00 USD</w:t>
      </w:r>
      <w:r w:rsidRPr="00680C45">
        <w:t xml:space="preserve"> utilizando una narrativa de "Infraestructura Cultural" y </w:t>
      </w:r>
      <w:proofErr w:type="spellStart"/>
      <w:r w:rsidRPr="00680C45">
        <w:t>viralidad</w:t>
      </w:r>
      <w:proofErr w:type="spellEnd"/>
      <w:r w:rsidRPr="00680C45">
        <w:t xml:space="preserve"> profesionalizada.</w:t>
      </w:r>
    </w:p>
    <w:p w14:paraId="25927BD8" w14:textId="77777777" w:rsidR="00680C45" w:rsidRPr="00680C45" w:rsidRDefault="00680C45" w:rsidP="00680C45">
      <w:r w:rsidRPr="00680C45">
        <w:rPr>
          <w:b/>
          <w:bCs/>
        </w:rPr>
        <w:t>Dato Estadístico Clave:</w:t>
      </w:r>
      <w:r w:rsidRPr="00680C45">
        <w:t xml:space="preserve"> Las aplicaciones móviles son el canal de adquisición más barato para </w:t>
      </w:r>
      <w:proofErr w:type="spellStart"/>
      <w:r w:rsidRPr="00680C45">
        <w:t>fintechs</w:t>
      </w:r>
      <w:proofErr w:type="spellEnd"/>
      <w:r w:rsidRPr="00680C45">
        <w:t xml:space="preserve"> ($2.33-$6.00 por usuario).</w:t>
      </w:r>
    </w:p>
    <w:p w14:paraId="7FA5D83F" w14:textId="77777777" w:rsidR="00680C45" w:rsidRPr="00680C45" w:rsidRDefault="00680C45" w:rsidP="00680C45">
      <w:pPr>
        <w:rPr>
          <w:b/>
          <w:bCs/>
        </w:rPr>
      </w:pPr>
      <w:r w:rsidRPr="00680C45">
        <w:rPr>
          <w:b/>
          <w:bCs/>
        </w:rPr>
        <w:t>Gamificación como Motor de Retención y LTV</w:t>
      </w:r>
    </w:p>
    <w:p w14:paraId="1865D8DF" w14:textId="77777777" w:rsidR="00680C45" w:rsidRPr="00680C45" w:rsidRDefault="00680C45" w:rsidP="00680C45">
      <w:r w:rsidRPr="00680C45">
        <w:t xml:space="preserve">La gamificación no es "juego", es una estrategia psicométrica. Las instituciones que integran sistemas de recompensa conductuales ven incrementos del </w:t>
      </w:r>
      <w:r w:rsidRPr="00680C45">
        <w:rPr>
          <w:b/>
          <w:bCs/>
        </w:rPr>
        <w:t>18% al 35%</w:t>
      </w:r>
      <w:r w:rsidRPr="00680C45">
        <w:t xml:space="preserve"> en el compromiso del usuario.</w:t>
      </w:r>
    </w:p>
    <w:p w14:paraId="163D9524" w14:textId="77777777" w:rsidR="00680C45" w:rsidRPr="00680C45" w:rsidRDefault="00680C45" w:rsidP="00680C45">
      <w:pPr>
        <w:numPr>
          <w:ilvl w:val="0"/>
          <w:numId w:val="4"/>
        </w:numPr>
      </w:pPr>
      <w:r w:rsidRPr="00680C45">
        <w:rPr>
          <w:b/>
          <w:bCs/>
        </w:rPr>
        <w:t>Efecto Gradiente:</w:t>
      </w:r>
      <w:r w:rsidRPr="00680C45">
        <w:t xml:space="preserve"> Los usuarios expuestos a visualizaciones de progreso (como el Jaguar Score) ahorran, en promedio, un </w:t>
      </w:r>
      <w:r w:rsidRPr="00680C45">
        <w:rPr>
          <w:b/>
          <w:bCs/>
        </w:rPr>
        <w:t>23% más</w:t>
      </w:r>
      <w:r w:rsidRPr="00680C45">
        <w:t>.</w:t>
      </w:r>
    </w:p>
    <w:p w14:paraId="538F4D69" w14:textId="77777777" w:rsidR="00680C45" w:rsidRPr="00680C45" w:rsidRDefault="00680C45" w:rsidP="00680C45">
      <w:pPr>
        <w:numPr>
          <w:ilvl w:val="0"/>
          <w:numId w:val="4"/>
        </w:numPr>
      </w:pPr>
      <w:r w:rsidRPr="00680C45">
        <w:rPr>
          <w:b/>
          <w:bCs/>
        </w:rPr>
        <w:t>Rentabilidad:</w:t>
      </w:r>
      <w:r w:rsidRPr="00680C45">
        <w:t xml:space="preserve"> Retener a un cliente mediante niveles de lealtad </w:t>
      </w:r>
      <w:proofErr w:type="spellStart"/>
      <w:r w:rsidRPr="00680C45">
        <w:t>gamificados</w:t>
      </w:r>
      <w:proofErr w:type="spellEnd"/>
      <w:r w:rsidRPr="00680C45">
        <w:t xml:space="preserve"> es hasta </w:t>
      </w:r>
      <w:r w:rsidRPr="00680C45">
        <w:rPr>
          <w:b/>
          <w:bCs/>
        </w:rPr>
        <w:t>5 veces más rentable</w:t>
      </w:r>
      <w:r w:rsidRPr="00680C45">
        <w:t xml:space="preserve"> que adquirir uno nuevo.</w:t>
      </w:r>
    </w:p>
    <w:p w14:paraId="3B998BFD" w14:textId="77777777" w:rsidR="00680C45" w:rsidRPr="00680C45" w:rsidRDefault="00680C45" w:rsidP="00680C45">
      <w:r w:rsidRPr="00680C45">
        <w:rPr>
          <w:b/>
          <w:bCs/>
        </w:rPr>
        <w:t>Argumento de Venta:</w:t>
      </w:r>
      <w:r w:rsidRPr="00680C45">
        <w:t xml:space="preserve"> El LTV de un usuario de LUKASH no se mide por sus deudas, sino por su crecimiento patrimonial, garantizando una relación comercial a perpetuidad mediante un "Costo de Salida Psicológico" basado en su estatus financiero digital (Jaguar Score).</w:t>
      </w:r>
    </w:p>
    <w:p w14:paraId="0C9C3065" w14:textId="77777777" w:rsidR="00680C45" w:rsidRPr="00680C45" w:rsidRDefault="00680C45" w:rsidP="00680C45">
      <w:r w:rsidRPr="00680C45">
        <w:pict w14:anchorId="095E8DDB">
          <v:rect id="_x0000_i1056" style="width:0;height:1.5pt" o:hralign="center" o:hrstd="t" o:hrnoshade="t" o:hr="t" fillcolor="gray" stroked="f"/>
        </w:pict>
      </w:r>
    </w:p>
    <w:p w14:paraId="5EF9511B" w14:textId="77777777" w:rsidR="00680C45" w:rsidRPr="00680C45" w:rsidRDefault="00680C45" w:rsidP="00680C45">
      <w:pPr>
        <w:rPr>
          <w:b/>
          <w:bCs/>
        </w:rPr>
      </w:pPr>
      <w:r w:rsidRPr="00680C45">
        <w:rPr>
          <w:b/>
          <w:bCs/>
        </w:rPr>
        <w:t>Fase 3: Validación Conceptual — El Estándar KASH y el Futuro RWA</w:t>
      </w:r>
    </w:p>
    <w:p w14:paraId="1DA95E6A" w14:textId="77777777" w:rsidR="00680C45" w:rsidRPr="00680C45" w:rsidRDefault="00680C45" w:rsidP="00680C45">
      <w:r w:rsidRPr="00680C45">
        <w:lastRenderedPageBreak/>
        <w:t xml:space="preserve">La innovación radical de LUKASH es el </w:t>
      </w:r>
      <w:r w:rsidRPr="00680C45">
        <w:rPr>
          <w:b/>
          <w:bCs/>
        </w:rPr>
        <w:t>Estándar KASH (Reserva Fraccionaria Inversa)</w:t>
      </w:r>
      <w:r w:rsidRPr="00680C45">
        <w:t>: cada $LUKA está respaldado por una reserva creciente de activos duros (</w:t>
      </w:r>
      <w:proofErr w:type="spellStart"/>
      <w:r w:rsidRPr="00680C45">
        <w:t>cBTC</w:t>
      </w:r>
      <w:proofErr w:type="spellEnd"/>
      <w:r w:rsidRPr="00680C45">
        <w:t xml:space="preserve">, SOL, USDC) auditada </w:t>
      </w:r>
      <w:proofErr w:type="spellStart"/>
      <w:r w:rsidRPr="00680C45">
        <w:t>on-chain</w:t>
      </w:r>
      <w:proofErr w:type="spellEnd"/>
      <w:r w:rsidRPr="00680C45">
        <w:t>.</w:t>
      </w:r>
    </w:p>
    <w:p w14:paraId="0597C7AD" w14:textId="77777777" w:rsidR="00680C45" w:rsidRPr="00680C45" w:rsidRDefault="00680C45" w:rsidP="00680C45">
      <w:pPr>
        <w:rPr>
          <w:b/>
          <w:bCs/>
        </w:rPr>
      </w:pPr>
      <w:r w:rsidRPr="00680C45">
        <w:rPr>
          <w:b/>
          <w:bCs/>
        </w:rPr>
        <w:t>El Mercado de los $16 Billones (RWA)</w:t>
      </w:r>
    </w:p>
    <w:p w14:paraId="2AD3F00C" w14:textId="77777777" w:rsidR="00680C45" w:rsidRPr="00680C45" w:rsidRDefault="00680C45" w:rsidP="00680C45">
      <w:r w:rsidRPr="00680C45">
        <w:t xml:space="preserve">La </w:t>
      </w:r>
      <w:proofErr w:type="spellStart"/>
      <w:r w:rsidRPr="00680C45">
        <w:t>tokenización</w:t>
      </w:r>
      <w:proofErr w:type="spellEnd"/>
      <w:r w:rsidRPr="00680C45">
        <w:t xml:space="preserve"> de activos del mundo real (RWA) ha pasado de experimento a infraestructura sistémica.</w:t>
      </w:r>
    </w:p>
    <w:p w14:paraId="1FACB8AE" w14:textId="77777777" w:rsidR="00680C45" w:rsidRPr="00680C45" w:rsidRDefault="00680C45" w:rsidP="00680C45">
      <w:pPr>
        <w:numPr>
          <w:ilvl w:val="0"/>
          <w:numId w:val="5"/>
        </w:numPr>
      </w:pPr>
      <w:r w:rsidRPr="00680C45">
        <w:rPr>
          <w:b/>
          <w:bCs/>
        </w:rPr>
        <w:t>Crecimiento:</w:t>
      </w:r>
      <w:r w:rsidRPr="00680C45">
        <w:t xml:space="preserve"> En la primera mitad de 2025, el mercado de RWA saltó de $8.6B a más de </w:t>
      </w:r>
      <w:r w:rsidRPr="00680C45">
        <w:rPr>
          <w:b/>
          <w:bCs/>
        </w:rPr>
        <w:t>$25 mil millones</w:t>
      </w:r>
      <w:r w:rsidRPr="00680C45">
        <w:t>, un crecimiento del 260% en meses.</w:t>
      </w:r>
    </w:p>
    <w:p w14:paraId="4035A727" w14:textId="77777777" w:rsidR="00680C45" w:rsidRPr="00680C45" w:rsidRDefault="00680C45" w:rsidP="00680C45">
      <w:pPr>
        <w:numPr>
          <w:ilvl w:val="0"/>
          <w:numId w:val="5"/>
        </w:numPr>
      </w:pPr>
      <w:r w:rsidRPr="00680C45">
        <w:rPr>
          <w:b/>
          <w:bCs/>
        </w:rPr>
        <w:t>Proyección 2030:</w:t>
      </w:r>
      <w:r w:rsidRPr="00680C45">
        <w:t xml:space="preserve"> Boston </w:t>
      </w:r>
      <w:proofErr w:type="spellStart"/>
      <w:r w:rsidRPr="00680C45">
        <w:t>Consulting</w:t>
      </w:r>
      <w:proofErr w:type="spellEnd"/>
      <w:r w:rsidRPr="00680C45">
        <w:t xml:space="preserve"> Group (BCG) estima que el mercado alcanzará los </w:t>
      </w:r>
      <w:r w:rsidRPr="00680C45">
        <w:rPr>
          <w:b/>
          <w:bCs/>
        </w:rPr>
        <w:t>$16 billones de dólares</w:t>
      </w:r>
      <w:r w:rsidRPr="00680C45">
        <w:t xml:space="preserve"> (10% del PIB global).</w:t>
      </w:r>
    </w:p>
    <w:p w14:paraId="655A68FE" w14:textId="77777777" w:rsidR="00680C45" w:rsidRPr="00680C45" w:rsidRDefault="00680C45" w:rsidP="00680C45">
      <w:pPr>
        <w:numPr>
          <w:ilvl w:val="0"/>
          <w:numId w:val="5"/>
        </w:numPr>
      </w:pPr>
      <w:r w:rsidRPr="00680C45">
        <w:rPr>
          <w:b/>
          <w:bCs/>
        </w:rPr>
        <w:t>Crédito Privado:</w:t>
      </w:r>
      <w:r w:rsidRPr="00680C45">
        <w:t xml:space="preserve"> Es el segmento dominante con más de </w:t>
      </w:r>
      <w:r w:rsidRPr="00680C45">
        <w:rPr>
          <w:b/>
          <w:bCs/>
        </w:rPr>
        <w:t>$18.9 mil millones</w:t>
      </w:r>
      <w:r w:rsidRPr="00680C45">
        <w:t xml:space="preserve"> en valor activo.</w:t>
      </w:r>
    </w:p>
    <w:p w14:paraId="587AD2B5" w14:textId="77777777" w:rsidR="00680C45" w:rsidRPr="00680C45" w:rsidRDefault="00680C45" w:rsidP="00680C45">
      <w:r w:rsidRPr="00680C45">
        <w:rPr>
          <w:b/>
          <w:bCs/>
        </w:rPr>
        <w:t>Argumento de Venta:</w:t>
      </w:r>
      <w:r w:rsidRPr="00680C45">
        <w:t xml:space="preserve"> LUKASH es la puerta de entrada al mercado de $16 trillones de RWA para el minorista de LATAM, permitiendo a las "Manadas" invertir colectivamente en activos antes inaccesibles.</w:t>
      </w:r>
    </w:p>
    <w:p w14:paraId="7AF23BF2" w14:textId="77777777" w:rsidR="00680C45" w:rsidRPr="00680C45" w:rsidRDefault="00680C45" w:rsidP="00680C45">
      <w:pPr>
        <w:rPr>
          <w:b/>
          <w:bCs/>
        </w:rPr>
      </w:pPr>
      <w:r w:rsidRPr="00680C45">
        <w:rPr>
          <w:b/>
          <w:bCs/>
        </w:rPr>
        <w:t>Solana como Infraestructura Institucional</w:t>
      </w:r>
    </w:p>
    <w:p w14:paraId="39F2BD15" w14:textId="77777777" w:rsidR="00680C45" w:rsidRPr="00680C45" w:rsidRDefault="00680C45" w:rsidP="00680C45">
      <w:r w:rsidRPr="00680C45">
        <w:t>La red Solana se ha consolidado como el "Ferrocarril de las Finanzas Globales":</w:t>
      </w:r>
    </w:p>
    <w:p w14:paraId="304CA65F" w14:textId="77777777" w:rsidR="00680C45" w:rsidRPr="00680C45" w:rsidRDefault="00680C45" w:rsidP="00680C45">
      <w:pPr>
        <w:numPr>
          <w:ilvl w:val="0"/>
          <w:numId w:val="6"/>
        </w:numPr>
      </w:pPr>
      <w:r w:rsidRPr="00680C45">
        <w:rPr>
          <w:b/>
          <w:bCs/>
        </w:rPr>
        <w:t>Visa:</w:t>
      </w:r>
      <w:r w:rsidRPr="00680C45">
        <w:t xml:space="preserve"> En 2025 integró a Solana en su red de liquidación de </w:t>
      </w:r>
      <w:proofErr w:type="spellStart"/>
      <w:r w:rsidRPr="00680C45">
        <w:t>stablecoins</w:t>
      </w:r>
      <w:proofErr w:type="spellEnd"/>
      <w:r w:rsidRPr="00680C45">
        <w:t xml:space="preserve"> para USDC y EURC por su velocidad.</w:t>
      </w:r>
    </w:p>
    <w:p w14:paraId="079758E4" w14:textId="77777777" w:rsidR="00680C45" w:rsidRPr="00680C45" w:rsidRDefault="00680C45" w:rsidP="00680C45">
      <w:pPr>
        <w:numPr>
          <w:ilvl w:val="0"/>
          <w:numId w:val="6"/>
        </w:numPr>
      </w:pPr>
      <w:r w:rsidRPr="00680C45">
        <w:rPr>
          <w:b/>
          <w:bCs/>
        </w:rPr>
        <w:t>ETF de Solana:</w:t>
      </w:r>
      <w:r w:rsidRPr="00680C45">
        <w:t xml:space="preserve"> La aprobación de </w:t>
      </w:r>
      <w:proofErr w:type="spellStart"/>
      <w:r w:rsidRPr="00680C45">
        <w:t>ETFs</w:t>
      </w:r>
      <w:proofErr w:type="spellEnd"/>
      <w:r w:rsidRPr="00680C45">
        <w:t xml:space="preserve"> de firmas como </w:t>
      </w:r>
      <w:proofErr w:type="spellStart"/>
      <w:r w:rsidRPr="00680C45">
        <w:t>Bitwise</w:t>
      </w:r>
      <w:proofErr w:type="spellEnd"/>
      <w:r w:rsidRPr="00680C45">
        <w:t xml:space="preserve"> y Fidelity marca la entrada del capital regulado.</w:t>
      </w:r>
    </w:p>
    <w:p w14:paraId="5439D627" w14:textId="77777777" w:rsidR="00680C45" w:rsidRPr="00680C45" w:rsidRDefault="00680C45" w:rsidP="00680C45">
      <w:pPr>
        <w:numPr>
          <w:ilvl w:val="0"/>
          <w:numId w:val="6"/>
        </w:numPr>
      </w:pPr>
      <w:r w:rsidRPr="00680C45">
        <w:rPr>
          <w:b/>
          <w:bCs/>
        </w:rPr>
        <w:t>Volumen Masivo:</w:t>
      </w:r>
      <w:r w:rsidRPr="00680C45">
        <w:t xml:space="preserve"> En su pico de 2025, Solana procesó </w:t>
      </w:r>
      <w:r w:rsidRPr="00680C45">
        <w:rPr>
          <w:b/>
          <w:bCs/>
        </w:rPr>
        <w:t>$364 mil millones de dólares</w:t>
      </w:r>
      <w:r w:rsidRPr="00680C45">
        <w:t xml:space="preserve"> en volumen, superando el volumen combinado de Ethereum y </w:t>
      </w:r>
      <w:proofErr w:type="spellStart"/>
      <w:r w:rsidRPr="00680C45">
        <w:t>Coinbase</w:t>
      </w:r>
      <w:proofErr w:type="spellEnd"/>
      <w:r w:rsidRPr="00680C45">
        <w:t>, y representando el 50% del volumen de Nasdaq en ese periodo.</w:t>
      </w:r>
    </w:p>
    <w:p w14:paraId="49D98044" w14:textId="77777777" w:rsidR="00680C45" w:rsidRPr="00680C45" w:rsidRDefault="00680C45" w:rsidP="00680C45">
      <w:r w:rsidRPr="00680C45">
        <w:pict w14:anchorId="0B74C18F">
          <v:rect id="_x0000_i1057" style="width:0;height:1.5pt" o:hralign="center" o:hrstd="t" o:hrnoshade="t" o:hr="t" fillcolor="gray" stroked="f"/>
        </w:pict>
      </w:r>
    </w:p>
    <w:p w14:paraId="381A9256" w14:textId="77777777" w:rsidR="00680C45" w:rsidRPr="00680C45" w:rsidRDefault="00680C45" w:rsidP="00680C45">
      <w:pPr>
        <w:rPr>
          <w:b/>
          <w:bCs/>
        </w:rPr>
      </w:pPr>
      <w:r w:rsidRPr="00680C45">
        <w:rPr>
          <w:b/>
          <w:bCs/>
        </w:rPr>
        <w:t>Fase 4: Marco Legal y Perspectivas 2025-2030</w:t>
      </w:r>
    </w:p>
    <w:p w14:paraId="6E6CBAB7" w14:textId="77777777" w:rsidR="00680C45" w:rsidRPr="00680C45" w:rsidRDefault="00680C45" w:rsidP="00680C45">
      <w:pPr>
        <w:rPr>
          <w:b/>
          <w:bCs/>
        </w:rPr>
      </w:pPr>
      <w:r w:rsidRPr="00680C45">
        <w:rPr>
          <w:b/>
          <w:bCs/>
        </w:rPr>
        <w:t xml:space="preserve">Influencia de </w:t>
      </w:r>
      <w:proofErr w:type="spellStart"/>
      <w:r w:rsidRPr="00680C45">
        <w:rPr>
          <w:b/>
          <w:bCs/>
        </w:rPr>
        <w:t>MiCA</w:t>
      </w:r>
      <w:proofErr w:type="spellEnd"/>
      <w:r w:rsidRPr="00680C45">
        <w:rPr>
          <w:b/>
          <w:bCs/>
        </w:rPr>
        <w:t xml:space="preserve"> y Leyes Fintech</w:t>
      </w:r>
    </w:p>
    <w:p w14:paraId="5C43F7A3" w14:textId="77777777" w:rsidR="00680C45" w:rsidRPr="00680C45" w:rsidRDefault="00680C45" w:rsidP="00680C45">
      <w:r w:rsidRPr="00680C45">
        <w:t xml:space="preserve">El reglamento </w:t>
      </w:r>
      <w:proofErr w:type="spellStart"/>
      <w:r w:rsidRPr="00680C45">
        <w:t>MiCA</w:t>
      </w:r>
      <w:proofErr w:type="spellEnd"/>
      <w:r w:rsidRPr="00680C45">
        <w:t xml:space="preserve"> de la UE es el nuevo estándar global. Exige respaldo de reserva 1:1 y auditorías estrictas, principios que LUKASH integra en su </w:t>
      </w:r>
      <w:r w:rsidRPr="00680C45">
        <w:rPr>
          <w:b/>
          <w:bCs/>
        </w:rPr>
        <w:t xml:space="preserve">Protocolo de </w:t>
      </w:r>
      <w:proofErr w:type="spellStart"/>
      <w:r w:rsidRPr="00680C45">
        <w:rPr>
          <w:b/>
          <w:bCs/>
        </w:rPr>
        <w:t>Colateralización</w:t>
      </w:r>
      <w:proofErr w:type="spellEnd"/>
      <w:r w:rsidRPr="00680C45">
        <w:rPr>
          <w:b/>
          <w:bCs/>
        </w:rPr>
        <w:t xml:space="preserve"> Multiactivo (PCM)</w:t>
      </w:r>
      <w:r w:rsidRPr="00680C45">
        <w:t>.</w:t>
      </w:r>
    </w:p>
    <w:p w14:paraId="36801D7B" w14:textId="77777777" w:rsidR="00680C45" w:rsidRPr="00680C45" w:rsidRDefault="00680C45" w:rsidP="00680C45">
      <w:pPr>
        <w:numPr>
          <w:ilvl w:val="0"/>
          <w:numId w:val="7"/>
        </w:numPr>
      </w:pPr>
      <w:r w:rsidRPr="00680C45">
        <w:rPr>
          <w:b/>
          <w:bCs/>
        </w:rPr>
        <w:t>México:</w:t>
      </w:r>
      <w:r w:rsidRPr="00680C45">
        <w:t xml:space="preserve"> La Estrategia Nacional de Finanzas Digitales 2025-2030 moderniza la Ley Fintech para fomentar la competencia digital.</w:t>
      </w:r>
    </w:p>
    <w:p w14:paraId="6BF7B56C" w14:textId="77777777" w:rsidR="00680C45" w:rsidRPr="00680C45" w:rsidRDefault="00680C45" w:rsidP="00680C45">
      <w:pPr>
        <w:numPr>
          <w:ilvl w:val="0"/>
          <w:numId w:val="7"/>
        </w:numPr>
      </w:pPr>
      <w:r w:rsidRPr="00680C45">
        <w:rPr>
          <w:b/>
          <w:bCs/>
        </w:rPr>
        <w:t>Colombia:</w:t>
      </w:r>
      <w:r w:rsidRPr="00680C45">
        <w:t xml:space="preserve"> La SFC utiliza su Sandbox para probar pilotos de </w:t>
      </w:r>
      <w:proofErr w:type="spellStart"/>
      <w:r w:rsidRPr="00680C45">
        <w:t>tokenización</w:t>
      </w:r>
      <w:proofErr w:type="spellEnd"/>
      <w:r w:rsidRPr="00680C45">
        <w:t xml:space="preserve"> de RWA y sistemas de pago instantáneo (Bre-B).</w:t>
      </w:r>
    </w:p>
    <w:p w14:paraId="18F7E3DA" w14:textId="77777777" w:rsidR="00680C45" w:rsidRPr="00680C45" w:rsidRDefault="00680C45" w:rsidP="00680C45">
      <w:pPr>
        <w:numPr>
          <w:ilvl w:val="0"/>
          <w:numId w:val="7"/>
        </w:numPr>
      </w:pPr>
      <w:r w:rsidRPr="00680C45">
        <w:rPr>
          <w:b/>
          <w:bCs/>
        </w:rPr>
        <w:t>Hub Estratégico El Salvador:</w:t>
      </w:r>
      <w:r w:rsidRPr="00680C45">
        <w:t xml:space="preserve"> Ofrece licencias DASP rápidas (3-6 meses), </w:t>
      </w:r>
      <w:r w:rsidRPr="00680C45">
        <w:rPr>
          <w:b/>
          <w:bCs/>
        </w:rPr>
        <w:t>0% impuestos</w:t>
      </w:r>
      <w:r w:rsidRPr="00680C45">
        <w:t xml:space="preserve"> sobre ganancias de capital y bancos pro-Bitcoin para rampas </w:t>
      </w:r>
      <w:proofErr w:type="spellStart"/>
      <w:r w:rsidRPr="00680C45">
        <w:t>on</w:t>
      </w:r>
      <w:proofErr w:type="spellEnd"/>
      <w:r w:rsidRPr="00680C45">
        <w:t>/off.</w:t>
      </w:r>
    </w:p>
    <w:p w14:paraId="78ECE028" w14:textId="77777777" w:rsidR="00680C45" w:rsidRPr="00680C45" w:rsidRDefault="00680C45" w:rsidP="00680C45">
      <w:r w:rsidRPr="00680C45">
        <w:pict w14:anchorId="19324ADE">
          <v:rect id="_x0000_i1058" style="width:0;height:1.5pt" o:hralign="center" o:hrstd="t" o:hrnoshade="t" o:hr="t" fillcolor="gray" stroked="f"/>
        </w:pict>
      </w:r>
    </w:p>
    <w:p w14:paraId="3260670D" w14:textId="77777777" w:rsidR="00680C45" w:rsidRPr="00680C45" w:rsidRDefault="00680C45" w:rsidP="00680C45">
      <w:pPr>
        <w:rPr>
          <w:b/>
          <w:bCs/>
        </w:rPr>
      </w:pPr>
      <w:r w:rsidRPr="00680C45">
        <w:rPr>
          <w:b/>
          <w:bCs/>
        </w:rPr>
        <w:t>Fase 5: Solución a Críticas — Evolución de Fase</w:t>
      </w:r>
    </w:p>
    <w:p w14:paraId="375E35C4" w14:textId="77777777" w:rsidR="00680C45" w:rsidRPr="00680C45" w:rsidRDefault="00680C45" w:rsidP="00680C45">
      <w:pPr>
        <w:rPr>
          <w:b/>
          <w:bCs/>
        </w:rPr>
      </w:pPr>
      <w:r w:rsidRPr="00680C45">
        <w:rPr>
          <w:b/>
          <w:bCs/>
        </w:rPr>
        <w:t xml:space="preserve">De la </w:t>
      </w:r>
      <w:proofErr w:type="spellStart"/>
      <w:r w:rsidRPr="00680C45">
        <w:rPr>
          <w:b/>
          <w:bCs/>
        </w:rPr>
        <w:t>Viralidad</w:t>
      </w:r>
      <w:proofErr w:type="spellEnd"/>
      <w:r w:rsidRPr="00680C45">
        <w:rPr>
          <w:b/>
          <w:bCs/>
        </w:rPr>
        <w:t xml:space="preserve"> Memética a la Infraestructura Cultural</w:t>
      </w:r>
    </w:p>
    <w:p w14:paraId="34416417" w14:textId="77777777" w:rsidR="00680C45" w:rsidRPr="00680C45" w:rsidRDefault="00680C45" w:rsidP="00680C45">
      <w:r w:rsidRPr="00680C45">
        <w:lastRenderedPageBreak/>
        <w:t xml:space="preserve">Abordamos la desconfianza del "meme" transformándolo en </w:t>
      </w:r>
      <w:r w:rsidRPr="00680C45">
        <w:rPr>
          <w:b/>
          <w:bCs/>
        </w:rPr>
        <w:t>Comunidades de Propiedad</w:t>
      </w:r>
      <w:r w:rsidRPr="00680C45">
        <w:t>.</w:t>
      </w:r>
    </w:p>
    <w:p w14:paraId="4BA98F8F" w14:textId="77777777" w:rsidR="00680C45" w:rsidRPr="00680C45" w:rsidRDefault="00680C45" w:rsidP="00680C45">
      <w:pPr>
        <w:numPr>
          <w:ilvl w:val="0"/>
          <w:numId w:val="8"/>
        </w:numPr>
      </w:pPr>
      <w:proofErr w:type="spellStart"/>
      <w:r w:rsidRPr="00680C45">
        <w:rPr>
          <w:b/>
          <w:bCs/>
        </w:rPr>
        <w:t>Engagement</w:t>
      </w:r>
      <w:proofErr w:type="spellEnd"/>
      <w:r w:rsidRPr="00680C45">
        <w:rPr>
          <w:b/>
          <w:bCs/>
        </w:rPr>
        <w:t>:</w:t>
      </w:r>
      <w:r w:rsidRPr="00680C45">
        <w:t xml:space="preserve"> Los participantes en ecosistemas culturales descentralizados demuestran métricas de compromiso </w:t>
      </w:r>
      <w:r w:rsidRPr="00680C45">
        <w:rPr>
          <w:b/>
          <w:bCs/>
        </w:rPr>
        <w:t>3.2 veces más altas</w:t>
      </w:r>
      <w:r w:rsidRPr="00680C45">
        <w:t xml:space="preserve"> que en plataformas convencionales.</w:t>
      </w:r>
    </w:p>
    <w:p w14:paraId="42F54C8C" w14:textId="77777777" w:rsidR="00680C45" w:rsidRPr="00680C45" w:rsidRDefault="00680C45" w:rsidP="00680C45">
      <w:pPr>
        <w:numPr>
          <w:ilvl w:val="0"/>
          <w:numId w:val="8"/>
        </w:numPr>
      </w:pPr>
      <w:r w:rsidRPr="00680C45">
        <w:rPr>
          <w:b/>
          <w:bCs/>
        </w:rPr>
        <w:t>Retención de Valor:</w:t>
      </w:r>
      <w:r w:rsidRPr="00680C45">
        <w:t xml:space="preserve"> Los creadores retienen el </w:t>
      </w:r>
      <w:r w:rsidRPr="00680C45">
        <w:rPr>
          <w:b/>
          <w:bCs/>
        </w:rPr>
        <w:t>92% del valor generado</w:t>
      </w:r>
      <w:r w:rsidRPr="00680C45">
        <w:t>, comparado con el 15-30% en plataformas tradicionales.</w:t>
      </w:r>
    </w:p>
    <w:p w14:paraId="57866A67" w14:textId="77777777" w:rsidR="00680C45" w:rsidRPr="00680C45" w:rsidRDefault="00680C45" w:rsidP="00680C45">
      <w:pPr>
        <w:rPr>
          <w:b/>
          <w:bCs/>
        </w:rPr>
      </w:pPr>
      <w:r w:rsidRPr="00680C45">
        <w:rPr>
          <w:b/>
          <w:bCs/>
        </w:rPr>
        <w:t xml:space="preserve">Conexión de las 3 Fases: El </w:t>
      </w:r>
      <w:proofErr w:type="spellStart"/>
      <w:r w:rsidRPr="00680C45">
        <w:rPr>
          <w:b/>
          <w:bCs/>
        </w:rPr>
        <w:t>Funnel</w:t>
      </w:r>
      <w:proofErr w:type="spellEnd"/>
      <w:r w:rsidRPr="00680C45">
        <w:rPr>
          <w:b/>
          <w:bCs/>
        </w:rPr>
        <w:t xml:space="preserve"> de Soberanía</w:t>
      </w:r>
    </w:p>
    <w:p w14:paraId="5AACDF90" w14:textId="77777777" w:rsidR="00680C45" w:rsidRPr="00680C45" w:rsidRDefault="00680C45" w:rsidP="00680C45">
      <w:pPr>
        <w:numPr>
          <w:ilvl w:val="0"/>
          <w:numId w:val="9"/>
        </w:numPr>
      </w:pPr>
      <w:r w:rsidRPr="00680C45">
        <w:rPr>
          <w:b/>
          <w:bCs/>
        </w:rPr>
        <w:t>Fase 1 (Entrenamiento):</w:t>
      </w:r>
      <w:r w:rsidRPr="00680C45">
        <w:t xml:space="preserve"> El simulador/juego es el filtro de riesgo y </w:t>
      </w:r>
      <w:proofErr w:type="spellStart"/>
      <w:r w:rsidRPr="00680C45">
        <w:t>onboarding</w:t>
      </w:r>
      <w:proofErr w:type="spellEnd"/>
      <w:r w:rsidRPr="00680C45">
        <w:t xml:space="preserve"> educativo.</w:t>
      </w:r>
    </w:p>
    <w:p w14:paraId="3509719A" w14:textId="77777777" w:rsidR="00680C45" w:rsidRPr="00680C45" w:rsidRDefault="00680C45" w:rsidP="00680C45">
      <w:pPr>
        <w:numPr>
          <w:ilvl w:val="0"/>
          <w:numId w:val="9"/>
        </w:numPr>
      </w:pPr>
      <w:r w:rsidRPr="00680C45">
        <w:rPr>
          <w:b/>
          <w:bCs/>
        </w:rPr>
        <w:t>Fase 2 (Transaccional):</w:t>
      </w:r>
      <w:r w:rsidRPr="00680C45">
        <w:t xml:space="preserve"> La Wallet Interactiva convierte el aprendizaje en uso diario de capital.</w:t>
      </w:r>
    </w:p>
    <w:p w14:paraId="4657F610" w14:textId="77777777" w:rsidR="00680C45" w:rsidRPr="00680C45" w:rsidRDefault="00680C45" w:rsidP="00680C45">
      <w:pPr>
        <w:numPr>
          <w:ilvl w:val="0"/>
          <w:numId w:val="9"/>
        </w:numPr>
      </w:pPr>
      <w:r w:rsidRPr="00680C45">
        <w:rPr>
          <w:b/>
          <w:bCs/>
        </w:rPr>
        <w:t>Fase 3 (Soberanía):</w:t>
      </w:r>
      <w:r w:rsidRPr="00680C45">
        <w:t xml:space="preserve"> El </w:t>
      </w:r>
      <w:proofErr w:type="spellStart"/>
      <w:r w:rsidRPr="00680C45">
        <w:t>neobanco</w:t>
      </w:r>
      <w:proofErr w:type="spellEnd"/>
      <w:r w:rsidRPr="00680C45">
        <w:t xml:space="preserve"> descentralizado conecta al usuario con activos reales (RWA) y pagos globales.</w:t>
      </w:r>
    </w:p>
    <w:p w14:paraId="3787AAD7" w14:textId="77777777" w:rsidR="00680C45" w:rsidRPr="00680C45" w:rsidRDefault="00680C45" w:rsidP="00680C45">
      <w:r w:rsidRPr="00680C45">
        <w:pict w14:anchorId="396ED7CD">
          <v:rect id="_x0000_i1059" style="width:0;height:1.5pt" o:hralign="center" o:hrstd="t" o:hrnoshade="t" o:hr="t" fillcolor="gray" stroked="f"/>
        </w:pict>
      </w:r>
    </w:p>
    <w:p w14:paraId="6AB1CA94" w14:textId="77777777" w:rsidR="00680C45" w:rsidRPr="00680C45" w:rsidRDefault="00680C45" w:rsidP="00680C45">
      <w:pPr>
        <w:rPr>
          <w:b/>
          <w:bCs/>
        </w:rPr>
      </w:pPr>
      <w:r w:rsidRPr="00680C45">
        <w:rPr>
          <w:b/>
          <w:bCs/>
        </w:rPr>
        <w:t>El Jaguar Shield: Arquitectura de Defensa y Solvencia</w:t>
      </w:r>
    </w:p>
    <w:p w14:paraId="41B56CC0" w14:textId="77777777" w:rsidR="00680C45" w:rsidRPr="00680C45" w:rsidRDefault="00680C45" w:rsidP="00680C45">
      <w:r w:rsidRPr="00680C45">
        <w:t>La credibilidad institucional se basa en la resistencia a escenarios adversos.</w:t>
      </w:r>
    </w:p>
    <w:p w14:paraId="6819EB8C" w14:textId="77777777" w:rsidR="00680C45" w:rsidRPr="00680C45" w:rsidRDefault="00680C45" w:rsidP="00680C45">
      <w:pPr>
        <w:numPr>
          <w:ilvl w:val="0"/>
          <w:numId w:val="10"/>
        </w:numPr>
      </w:pPr>
      <w:r w:rsidRPr="00680C45">
        <w:rPr>
          <w:b/>
          <w:bCs/>
        </w:rPr>
        <w:t>Riesgo de Ruina (0.0%):</w:t>
      </w:r>
      <w:r w:rsidRPr="00680C45">
        <w:t xml:space="preserve"> Validado por 5,000 iteraciones de simulaciones Monte Carlo con un Vault base de $25M.</w:t>
      </w:r>
    </w:p>
    <w:p w14:paraId="456E45FB" w14:textId="77777777" w:rsidR="00680C45" w:rsidRPr="00680C45" w:rsidRDefault="00680C45" w:rsidP="00680C45">
      <w:pPr>
        <w:numPr>
          <w:ilvl w:val="0"/>
          <w:numId w:val="10"/>
        </w:numPr>
      </w:pPr>
      <w:proofErr w:type="spellStart"/>
      <w:r w:rsidRPr="00680C45">
        <w:rPr>
          <w:b/>
          <w:bCs/>
        </w:rPr>
        <w:t>Throttle</w:t>
      </w:r>
      <w:proofErr w:type="spellEnd"/>
      <w:r w:rsidRPr="00680C45">
        <w:rPr>
          <w:b/>
          <w:bCs/>
        </w:rPr>
        <w:t xml:space="preserve"> Dinámico:</w:t>
      </w:r>
      <w:r w:rsidRPr="00680C45">
        <w:t xml:space="preserve"> Modula la tasa de quema y compensación según el precio relativo a la </w:t>
      </w:r>
      <w:r w:rsidRPr="00680C45">
        <w:rPr>
          <w:b/>
          <w:bCs/>
        </w:rPr>
        <w:t>EMA30</w:t>
      </w:r>
      <w:r w:rsidRPr="00680C45">
        <w:t xml:space="preserve">, reduciendo la probabilidad de espiral de muerte de 8% a solo </w:t>
      </w:r>
      <w:r w:rsidRPr="00680C45">
        <w:rPr>
          <w:b/>
          <w:bCs/>
        </w:rPr>
        <w:t>1.4%</w:t>
      </w:r>
      <w:r w:rsidRPr="00680C45">
        <w:t>.</w:t>
      </w:r>
    </w:p>
    <w:p w14:paraId="327F8C25" w14:textId="77777777" w:rsidR="00680C45" w:rsidRPr="00680C45" w:rsidRDefault="00680C45" w:rsidP="00680C45">
      <w:pPr>
        <w:numPr>
          <w:ilvl w:val="0"/>
          <w:numId w:val="10"/>
        </w:numPr>
      </w:pPr>
      <w:r w:rsidRPr="00680C45">
        <w:rPr>
          <w:b/>
          <w:bCs/>
        </w:rPr>
        <w:t>Precio KASH:</w:t>
      </w:r>
      <w:r w:rsidRPr="00680C45">
        <w:t xml:space="preserve"> Actúa como el piso de valor garantizado por el protocolo.</w:t>
      </w:r>
    </w:p>
    <w:p w14:paraId="623038BD" w14:textId="77777777" w:rsidR="00680C45" w:rsidRPr="00680C45" w:rsidRDefault="00680C45" w:rsidP="00680C45">
      <w:r w:rsidRPr="00680C45">
        <w:t>$$P_{</w:t>
      </w:r>
      <w:proofErr w:type="spellStart"/>
      <w:r w:rsidRPr="00680C45">
        <w:t>th</w:t>
      </w:r>
      <w:proofErr w:type="spellEnd"/>
      <w:r w:rsidRPr="00680C45">
        <w:t>} = \</w:t>
      </w:r>
      <w:proofErr w:type="gramStart"/>
      <w:r w:rsidRPr="00680C45">
        <w:t>frac{</w:t>
      </w:r>
      <w:proofErr w:type="gramEnd"/>
      <w:r w:rsidRPr="00680C45">
        <w:t>\</w:t>
      </w:r>
      <w:proofErr w:type="spellStart"/>
      <w:proofErr w:type="gramStart"/>
      <w:r w:rsidRPr="00680C45">
        <w:t>text</w:t>
      </w:r>
      <w:proofErr w:type="spellEnd"/>
      <w:r w:rsidRPr="00680C45">
        <w:t>{</w:t>
      </w:r>
      <w:proofErr w:type="gramEnd"/>
      <w:r w:rsidRPr="00680C45">
        <w:t>Valor del Vault (USD)</w:t>
      </w:r>
      <w:proofErr w:type="gramStart"/>
      <w:r w:rsidRPr="00680C45">
        <w:t>}}{</w:t>
      </w:r>
      <w:proofErr w:type="gramEnd"/>
      <w:r w:rsidRPr="00680C45">
        <w:t>\</w:t>
      </w:r>
      <w:proofErr w:type="spellStart"/>
      <w:proofErr w:type="gramStart"/>
      <w:r w:rsidRPr="00680C45">
        <w:t>text</w:t>
      </w:r>
      <w:proofErr w:type="spellEnd"/>
      <w:r w:rsidRPr="00680C45">
        <w:t>{</w:t>
      </w:r>
      <w:proofErr w:type="spellStart"/>
      <w:proofErr w:type="gramEnd"/>
      <w:r w:rsidRPr="00680C45">
        <w:t>Supply</w:t>
      </w:r>
      <w:proofErr w:type="spellEnd"/>
      <w:r w:rsidRPr="00680C45">
        <w:t xml:space="preserve"> Circulante </w:t>
      </w:r>
      <w:proofErr w:type="gramStart"/>
      <w:r w:rsidRPr="00680C45">
        <w:t>de }</w:t>
      </w:r>
      <w:proofErr w:type="gramEnd"/>
      <w:r w:rsidRPr="00680C45">
        <w:t xml:space="preserve"> \$</w:t>
      </w:r>
      <w:proofErr w:type="gramStart"/>
      <w:r w:rsidRPr="00680C45">
        <w:t>LUKA}$</w:t>
      </w:r>
      <w:proofErr w:type="gramEnd"/>
      <w:r w:rsidRPr="00680C45">
        <w:t>$</w:t>
      </w:r>
    </w:p>
    <w:p w14:paraId="6EFD8792" w14:textId="77777777" w:rsidR="00680C45" w:rsidRPr="00680C45" w:rsidRDefault="00680C45" w:rsidP="00680C45">
      <w:r w:rsidRPr="00680C45">
        <w:t xml:space="preserve">Se proyecta un crecimiento del Precio KASH de </w:t>
      </w:r>
      <w:r w:rsidRPr="00680C45">
        <w:rPr>
          <w:b/>
          <w:bCs/>
        </w:rPr>
        <w:t>113x</w:t>
      </w:r>
      <w:r w:rsidRPr="00680C45">
        <w:t xml:space="preserve"> en 5 años basado exclusivamente en reservas reales.</w:t>
      </w:r>
    </w:p>
    <w:p w14:paraId="0F46CEDF" w14:textId="77777777" w:rsidR="00680C45" w:rsidRPr="00680C45" w:rsidRDefault="00680C45" w:rsidP="00680C45">
      <w:r w:rsidRPr="00680C45">
        <w:rPr>
          <w:b/>
          <w:bCs/>
        </w:rPr>
        <w:t>Resumen de la Tesis de Inversión:</w:t>
      </w:r>
    </w:p>
    <w:p w14:paraId="2A7B0AF8" w14:textId="77777777" w:rsidR="00680C45" w:rsidRPr="00680C45" w:rsidRDefault="00680C45" w:rsidP="00680C45">
      <w:pPr>
        <w:numPr>
          <w:ilvl w:val="0"/>
          <w:numId w:val="11"/>
        </w:numPr>
      </w:pPr>
      <w:r w:rsidRPr="00680C45">
        <w:rPr>
          <w:b/>
          <w:bCs/>
        </w:rPr>
        <w:t>Adquisición Eficiente:</w:t>
      </w:r>
      <w:r w:rsidRPr="00680C45">
        <w:t xml:space="preserve"> CAC proyectado de $3.00 USD vs. $350 USD </w:t>
      </w:r>
      <w:proofErr w:type="spellStart"/>
      <w:r w:rsidRPr="00680C45">
        <w:t>TradFi</w:t>
      </w:r>
      <w:proofErr w:type="spellEnd"/>
      <w:r w:rsidRPr="00680C45">
        <w:t>.</w:t>
      </w:r>
    </w:p>
    <w:p w14:paraId="4D608A49" w14:textId="77777777" w:rsidR="00680C45" w:rsidRPr="00680C45" w:rsidRDefault="00680C45" w:rsidP="00680C45">
      <w:pPr>
        <w:numPr>
          <w:ilvl w:val="0"/>
          <w:numId w:val="11"/>
        </w:numPr>
      </w:pPr>
      <w:r w:rsidRPr="00680C45">
        <w:rPr>
          <w:b/>
          <w:bCs/>
        </w:rPr>
        <w:t>Respaldo Real:</w:t>
      </w:r>
      <w:r w:rsidRPr="00680C45">
        <w:t xml:space="preserve"> Vault de activos duros auditado </w:t>
      </w:r>
      <w:proofErr w:type="spellStart"/>
      <w:r w:rsidRPr="00680C45">
        <w:t>on-chain</w:t>
      </w:r>
      <w:proofErr w:type="spellEnd"/>
      <w:r w:rsidRPr="00680C45">
        <w:t xml:space="preserve"> con meta de $100M.</w:t>
      </w:r>
    </w:p>
    <w:p w14:paraId="0BA5E339" w14:textId="77777777" w:rsidR="00680C45" w:rsidRPr="00680C45" w:rsidRDefault="00680C45" w:rsidP="00680C45">
      <w:pPr>
        <w:numPr>
          <w:ilvl w:val="0"/>
          <w:numId w:val="11"/>
        </w:numPr>
      </w:pPr>
      <w:r w:rsidRPr="00680C45">
        <w:rPr>
          <w:b/>
          <w:bCs/>
        </w:rPr>
        <w:t>Seguridad Matemática:</w:t>
      </w:r>
      <w:r w:rsidRPr="00680C45">
        <w:t xml:space="preserve"> Riesgo de ruina 0.0% bajo el Standard KASH.</w:t>
      </w:r>
    </w:p>
    <w:p w14:paraId="760AA6DE" w14:textId="77777777" w:rsidR="00680C45" w:rsidRPr="00680C45" w:rsidRDefault="00680C45" w:rsidP="00680C45">
      <w:pPr>
        <w:numPr>
          <w:ilvl w:val="0"/>
          <w:numId w:val="11"/>
        </w:numPr>
      </w:pPr>
      <w:r w:rsidRPr="00680C45">
        <w:rPr>
          <w:b/>
          <w:bCs/>
        </w:rPr>
        <w:t>Infraestructura:</w:t>
      </w:r>
      <w:r w:rsidRPr="00680C45">
        <w:t xml:space="preserve"> Operación sobre Solana, red validada por Visa y Google Cloud.</w:t>
      </w:r>
    </w:p>
    <w:p w14:paraId="11B09673" w14:textId="77777777" w:rsidR="00680C45" w:rsidRPr="00680C45" w:rsidRDefault="00680C45" w:rsidP="00680C45">
      <w:r w:rsidRPr="00680C45">
        <w:t>La manada está lista; la evolución hacia la soberanía bancaria es inevitable.</w:t>
      </w:r>
    </w:p>
    <w:p w14:paraId="41AED096" w14:textId="77777777" w:rsidR="007506E3" w:rsidRDefault="007506E3"/>
    <w:sectPr w:rsidR="007506E3"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789"/>
    <w:multiLevelType w:val="multilevel"/>
    <w:tmpl w:val="B67C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32A"/>
    <w:multiLevelType w:val="multilevel"/>
    <w:tmpl w:val="A3F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E248E"/>
    <w:multiLevelType w:val="multilevel"/>
    <w:tmpl w:val="0C5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378B7"/>
    <w:multiLevelType w:val="multilevel"/>
    <w:tmpl w:val="CBD4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5DAA"/>
    <w:multiLevelType w:val="multilevel"/>
    <w:tmpl w:val="16F2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923A4"/>
    <w:multiLevelType w:val="multilevel"/>
    <w:tmpl w:val="E8A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47F89"/>
    <w:multiLevelType w:val="multilevel"/>
    <w:tmpl w:val="0D2C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621363"/>
    <w:multiLevelType w:val="multilevel"/>
    <w:tmpl w:val="E9F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907CA"/>
    <w:multiLevelType w:val="multilevel"/>
    <w:tmpl w:val="E94C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45CA6"/>
    <w:multiLevelType w:val="multilevel"/>
    <w:tmpl w:val="370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91329"/>
    <w:multiLevelType w:val="multilevel"/>
    <w:tmpl w:val="8D3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59332">
    <w:abstractNumId w:val="0"/>
  </w:num>
  <w:num w:numId="2" w16cid:durableId="1704937332">
    <w:abstractNumId w:val="3"/>
  </w:num>
  <w:num w:numId="3" w16cid:durableId="1567107604">
    <w:abstractNumId w:val="9"/>
  </w:num>
  <w:num w:numId="4" w16cid:durableId="1899626982">
    <w:abstractNumId w:val="2"/>
  </w:num>
  <w:num w:numId="5" w16cid:durableId="559051780">
    <w:abstractNumId w:val="10"/>
  </w:num>
  <w:num w:numId="6" w16cid:durableId="1737969639">
    <w:abstractNumId w:val="4"/>
  </w:num>
  <w:num w:numId="7" w16cid:durableId="195853042">
    <w:abstractNumId w:val="5"/>
  </w:num>
  <w:num w:numId="8" w16cid:durableId="1147671931">
    <w:abstractNumId w:val="8"/>
  </w:num>
  <w:num w:numId="9" w16cid:durableId="967390948">
    <w:abstractNumId w:val="6"/>
  </w:num>
  <w:num w:numId="10" w16cid:durableId="1023942412">
    <w:abstractNumId w:val="1"/>
  </w:num>
  <w:num w:numId="11" w16cid:durableId="1736665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C45"/>
    <w:rsid w:val="00680C45"/>
    <w:rsid w:val="007506E3"/>
    <w:rsid w:val="008C485E"/>
    <w:rsid w:val="00AC6A64"/>
    <w:rsid w:val="00AE3250"/>
    <w:rsid w:val="00C3784D"/>
    <w:rsid w:val="00CA3DAD"/>
    <w:rsid w:val="00D5283F"/>
    <w:rsid w:val="00DA457F"/>
    <w:rsid w:val="00E0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BB41"/>
  <w15:chartTrackingRefBased/>
  <w15:docId w15:val="{941B0158-A09C-4DDF-B2E9-B8C7E042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0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0C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0C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0C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0C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C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C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C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C4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0C4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0C4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0C4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0C4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0C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C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C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C45"/>
    <w:rPr>
      <w:rFonts w:eastAsiaTheme="majorEastAsia" w:cstheme="majorBidi"/>
      <w:color w:val="272727" w:themeColor="text1" w:themeTint="D8"/>
    </w:rPr>
  </w:style>
  <w:style w:type="paragraph" w:styleId="Ttulo">
    <w:name w:val="Title"/>
    <w:basedOn w:val="Normal"/>
    <w:next w:val="Normal"/>
    <w:link w:val="TtuloCar"/>
    <w:uiPriority w:val="10"/>
    <w:qFormat/>
    <w:rsid w:val="00680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C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C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C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C45"/>
    <w:pPr>
      <w:spacing w:before="160"/>
      <w:jc w:val="center"/>
    </w:pPr>
    <w:rPr>
      <w:i/>
      <w:iCs/>
      <w:color w:val="404040" w:themeColor="text1" w:themeTint="BF"/>
    </w:rPr>
  </w:style>
  <w:style w:type="character" w:customStyle="1" w:styleId="CitaCar">
    <w:name w:val="Cita Car"/>
    <w:basedOn w:val="Fuentedeprrafopredeter"/>
    <w:link w:val="Cita"/>
    <w:uiPriority w:val="29"/>
    <w:rsid w:val="00680C45"/>
    <w:rPr>
      <w:i/>
      <w:iCs/>
      <w:color w:val="404040" w:themeColor="text1" w:themeTint="BF"/>
    </w:rPr>
  </w:style>
  <w:style w:type="paragraph" w:styleId="Prrafodelista">
    <w:name w:val="List Paragraph"/>
    <w:basedOn w:val="Normal"/>
    <w:uiPriority w:val="34"/>
    <w:qFormat/>
    <w:rsid w:val="00680C45"/>
    <w:pPr>
      <w:ind w:left="720"/>
      <w:contextualSpacing/>
    </w:pPr>
  </w:style>
  <w:style w:type="character" w:styleId="nfasisintenso">
    <w:name w:val="Intense Emphasis"/>
    <w:basedOn w:val="Fuentedeprrafopredeter"/>
    <w:uiPriority w:val="21"/>
    <w:qFormat/>
    <w:rsid w:val="00680C45"/>
    <w:rPr>
      <w:i/>
      <w:iCs/>
      <w:color w:val="2F5496" w:themeColor="accent1" w:themeShade="BF"/>
    </w:rPr>
  </w:style>
  <w:style w:type="paragraph" w:styleId="Citadestacada">
    <w:name w:val="Intense Quote"/>
    <w:basedOn w:val="Normal"/>
    <w:next w:val="Normal"/>
    <w:link w:val="CitadestacadaCar"/>
    <w:uiPriority w:val="30"/>
    <w:qFormat/>
    <w:rsid w:val="00680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0C45"/>
    <w:rPr>
      <w:i/>
      <w:iCs/>
      <w:color w:val="2F5496" w:themeColor="accent1" w:themeShade="BF"/>
    </w:rPr>
  </w:style>
  <w:style w:type="character" w:styleId="Referenciaintensa">
    <w:name w:val="Intense Reference"/>
    <w:basedOn w:val="Fuentedeprrafopredeter"/>
    <w:uiPriority w:val="32"/>
    <w:qFormat/>
    <w:rsid w:val="00680C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1498</Words>
  <Characters>8242</Characters>
  <Application>Microsoft Office Word</Application>
  <DocSecurity>0</DocSecurity>
  <Lines>68</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1</cp:revision>
  <dcterms:created xsi:type="dcterms:W3CDTF">2026-03-04T05:16:00Z</dcterms:created>
  <dcterms:modified xsi:type="dcterms:W3CDTF">2026-03-04T05:17:00Z</dcterms:modified>
</cp:coreProperties>
</file>