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 de Soberanía Bancaria Gamificada: Informe de Validación y Análisis de Mercado para el Protocolo LUKASH (2025-2030)</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financiero global se encuentra en una coyuntura crítica donde la infraestructura tradicional, lastrada por modelos de reserva fraccionaria y procesos analógicos, colisiona con una nueva generación de usuarios que demanda soberanía, transparencia y compromiso digital. El presente reporte, elaborado por un equipo multidisciplinar de estrategia fintech, análisis de datos y capital de riesgo, tiene como propósito fundamental validar la tesis de inversión del Protocolo LUKASH ante inversores institucionales. A través de una investigación exhaustiva que abarca el periodo 2023-2025, se analizan los fallos sistémicos de la banca tradicional, la ineficiencia de los modelos cripto puramente especulativos y la viabilidad económica del Estándar KASH como una solución disruptiva para los mercados emergentes.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1: El Problema — El "Impuesto Invisible" de la Exclusión en LATAM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análisis del sistema financiero contemporáneo revela una falla estructural en la preservación del valor y la autonomía del usuario. Mientras que las instituciones financieras tradicionales (TradFi) operan bajo marcos de reserva fraccionaria que diluyen la soberanía del depositante, el mercado de activos digitales ha derivado en una economía extractiva de corto plazo donde el tiempo de retención de activos colapsó de 300 a solo 100 segundos en 2024-2025.</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Paradoja de la Sub-bancarización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Latinoamérica vive un fenómeno de inclusión superficial. Aunque el acceso a cuentas ha crecido, el acceso a bienestar financiero real (crédito e inversión) permanece bloqueado: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Colombia:</w:t>
      </w:r>
      <w:r w:rsidDel="00000000" w:rsidR="00000000" w:rsidRPr="00000000">
        <w:rPr>
          <w:rFonts w:ascii="Google Sans" w:cs="Google Sans" w:eastAsia="Google Sans" w:hAnsi="Google Sans"/>
          <w:color w:val="1f1f1f"/>
          <w:rtl w:val="0"/>
        </w:rPr>
        <w:t xml:space="preserve"> El 95.8% de los adultos posee un producto de depósito, pero el acceso al crédito formal está estancado en solo un </w:t>
      </w:r>
      <w:r w:rsidDel="00000000" w:rsidR="00000000" w:rsidRPr="00000000">
        <w:rPr>
          <w:rFonts w:ascii="Google Sans" w:cs="Google Sans" w:eastAsia="Google Sans" w:hAnsi="Google Sans"/>
          <w:b w:val="1"/>
          <w:bCs w:val="1"/>
          <w:color w:val="1f1f1f"/>
          <w:rtl w:val="0"/>
        </w:rPr>
        <w:t xml:space="preserve">35.5%</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México:</w:t>
      </w:r>
      <w:r w:rsidDel="00000000" w:rsidR="00000000" w:rsidRPr="00000000">
        <w:rPr>
          <w:rFonts w:ascii="Google Sans" w:cs="Google Sans" w:eastAsia="Google Sans" w:hAnsi="Google Sans"/>
          <w:color w:val="1f1f1f"/>
          <w:rtl w:val="0"/>
        </w:rPr>
        <w:t xml:space="preserve"> Según la ENIF 2024, el 76.5% de la población cuenta con algún producto financiero, pero existe una disparidad regional masiva; en el Sur, la inclusión cae al </w:t>
      </w:r>
      <w:r w:rsidDel="00000000" w:rsidR="00000000" w:rsidRPr="00000000">
        <w:rPr>
          <w:rFonts w:ascii="Google Sans" w:cs="Google Sans" w:eastAsia="Google Sans" w:hAnsi="Google Sans"/>
          <w:b w:val="1"/>
          <w:bCs w:val="1"/>
          <w:color w:val="1f1f1f"/>
          <w:rtl w:val="0"/>
        </w:rPr>
        <w:t xml:space="preserve">67.7%</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acceso al crédito formal es de apenas un </w:t>
      </w:r>
      <w:r w:rsidDel="00000000" w:rsidR="00000000" w:rsidRPr="00000000">
        <w:rPr>
          <w:rFonts w:ascii="Google Sans" w:cs="Google Sans" w:eastAsia="Google Sans" w:hAnsi="Google Sans"/>
          <w:b w:val="1"/>
          <w:bCs w:val="1"/>
          <w:color w:val="1f1f1f"/>
          <w:rtl w:val="0"/>
        </w:rPr>
        <w:t xml:space="preserve">37.3%</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Barreras Sistémicas:</w:t>
      </w:r>
      <w:r w:rsidDel="00000000" w:rsidR="00000000" w:rsidRPr="00000000">
        <w:rPr>
          <w:rFonts w:ascii="Google Sans" w:cs="Google Sans" w:eastAsia="Google Sans" w:hAnsi="Google Sans"/>
          <w:color w:val="1f1f1f"/>
          <w:rtl w:val="0"/>
        </w:rPr>
        <w:t xml:space="preserve"> El 20.7% de los mexicanos excluidos del crédito citan como barrera principal el incumplimiento de requisitos tradicionales.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áreas rurales de Colombia, solo </w:t>
      </w:r>
      <w:r w:rsidDel="00000000" w:rsidR="00000000" w:rsidRPr="00000000">
        <w:rPr>
          <w:rFonts w:ascii="Google Sans" w:cs="Google Sans" w:eastAsia="Google Sans" w:hAnsi="Google Sans"/>
          <w:b w:val="1"/>
          <w:bCs w:val="1"/>
          <w:color w:val="1f1f1f"/>
          <w:rtl w:val="0"/>
        </w:rPr>
        <w:t xml:space="preserve">1 de cada 5 jóvenes (20%)</w:t>
      </w:r>
      <w:r w:rsidDel="00000000" w:rsidR="00000000" w:rsidRPr="00000000">
        <w:rPr>
          <w:rFonts w:ascii="Google Sans" w:cs="Google Sans" w:eastAsia="Google Sans" w:hAnsi="Google Sans"/>
          <w:color w:val="1f1f1f"/>
          <w:rtl w:val="0"/>
        </w:rPr>
        <w:t xml:space="preserve"> tiene acceso a productos de depósito.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Argumento de Venta:</w:t>
      </w:r>
      <w:r w:rsidDel="00000000" w:rsidR="00000000" w:rsidRPr="00000000">
        <w:rPr>
          <w:rFonts w:ascii="Google Sans" w:cs="Google Sans" w:eastAsia="Google Sans" w:hAnsi="Google Sans"/>
          <w:color w:val="1f1f1f"/>
          <w:rtl w:val="0"/>
        </w:rPr>
        <w:t xml:space="preserve"> LUKASH no compite por "abrir cuentas", sino por la "utilidad del capital". Resolvemos el "Impuesto Invisible de la Exclusión" capturando a los jóvenes rurales e informales que tienen internet pero son rechazados por la banca física.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Analogía Simplificada:</w:t>
      </w:r>
      <w:r w:rsidDel="00000000" w:rsidR="00000000" w:rsidRPr="00000000">
        <w:rPr>
          <w:rFonts w:ascii="Google Sans" w:cs="Google Sans" w:eastAsia="Google Sans" w:hAnsi="Google Sans"/>
          <w:color w:val="1f1f1f"/>
          <w:rtl w:val="0"/>
        </w:rPr>
        <w:t xml:space="preserve"> Estar bancarizado en LATAM hoy es como tener una tarjeta de biblioteca en una ciudad sin libros; tienes el acceso, pero no puedes consumir el conocimiento (capital). LUKASH es la biblioteca digital que entrega el contenido (soberanía) directamente al usuario.</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Abismo de la Educación Financiera y el Riesgo "Finfluencer"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desconexión emocional de la Generación Z y los Millennials con la banca tradicional es total. Los jóvenes perciben las interfaces bancarias como herramientas aburridas e intimidantes.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Dependencia de Redes:</w:t>
      </w:r>
      <w:r w:rsidDel="00000000" w:rsidR="00000000" w:rsidRPr="00000000">
        <w:rPr>
          <w:rFonts w:ascii="Google Sans" w:cs="Google Sans" w:eastAsia="Google Sans" w:hAnsi="Google Sans"/>
          <w:color w:val="1f1f1f"/>
          <w:rtl w:val="0"/>
        </w:rPr>
        <w:t xml:space="preserve"> El 76% de la Generación Z busca consejos financieros en redes sociales como TikTok e Instagram.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El contenido #FinTok supera los </w:t>
      </w:r>
      <w:r w:rsidDel="00000000" w:rsidR="00000000" w:rsidRPr="00000000">
        <w:rPr>
          <w:rFonts w:ascii="Google Sans" w:cs="Google Sans" w:eastAsia="Google Sans" w:hAnsi="Google Sans"/>
          <w:b w:val="1"/>
          <w:bCs w:val="1"/>
          <w:color w:val="1f1f1f"/>
          <w:rtl w:val="0"/>
        </w:rPr>
        <w:t xml:space="preserve">1.4 mil millones de visitas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Vulnerabilidad Extrema:</w:t>
      </w:r>
      <w:r w:rsidDel="00000000" w:rsidR="00000000" w:rsidRPr="00000000">
        <w:rPr>
          <w:rFonts w:ascii="Google Sans" w:cs="Google Sans" w:eastAsia="Google Sans" w:hAnsi="Google Sans"/>
          <w:color w:val="1f1f1f"/>
          <w:rtl w:val="0"/>
        </w:rPr>
        <w:t xml:space="preserve"> En 2024, la FTC reportó que el </w:t>
      </w:r>
      <w:r w:rsidDel="00000000" w:rsidR="00000000" w:rsidRPr="00000000">
        <w:rPr>
          <w:rFonts w:ascii="Google Sans" w:cs="Google Sans" w:eastAsia="Google Sans" w:hAnsi="Google Sans"/>
          <w:b w:val="1"/>
          <w:bCs w:val="1"/>
          <w:color w:val="1f1f1f"/>
          <w:rtl w:val="0"/>
        </w:rPr>
        <w:t xml:space="preserve">70%</w:t>
      </w:r>
      <w:r w:rsidDel="00000000" w:rsidR="00000000" w:rsidRPr="00000000">
        <w:rPr>
          <w:rFonts w:ascii="Google Sans" w:cs="Google Sans" w:eastAsia="Google Sans" w:hAnsi="Google Sans"/>
          <w:color w:val="1f1f1f"/>
          <w:rtl w:val="0"/>
        </w:rPr>
        <w:t xml:space="preserve"> de las personas estafadas fueron contactadas vía redes sociales, con pérdidas totales de </w:t>
      </w:r>
      <w:r w:rsidDel="00000000" w:rsidR="00000000" w:rsidRPr="00000000">
        <w:rPr>
          <w:rFonts w:ascii="Google Sans" w:cs="Google Sans" w:eastAsia="Google Sans" w:hAnsi="Google Sans"/>
          <w:b w:val="1"/>
          <w:bCs w:val="1"/>
          <w:color w:val="1f1f1f"/>
          <w:rtl w:val="0"/>
        </w:rPr>
        <w:t xml:space="preserve">$1.9 mil millones de dólares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Los jóvenes de 20 a 29 años pierden dinero con mayor frecuencia que los adultos mayores por falta de herramientas seguras.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Argumento de Venta:</w:t>
      </w:r>
      <w:r w:rsidDel="00000000" w:rsidR="00000000" w:rsidRPr="00000000">
        <w:rPr>
          <w:rFonts w:ascii="Google Sans" w:cs="Google Sans" w:eastAsia="Google Sans" w:hAnsi="Google Sans"/>
          <w:color w:val="1f1f1f"/>
          <w:rtl w:val="0"/>
        </w:rPr>
        <w:t xml:space="preserve"> LUKASH sustituye el algoritmo azaroso de TikTok por </w:t>
      </w:r>
      <w:r w:rsidDel="00000000" w:rsidR="00000000" w:rsidRPr="00000000">
        <w:rPr>
          <w:rFonts w:ascii="Google Sans" w:cs="Google Sans" w:eastAsia="Google Sans" w:hAnsi="Google Sans"/>
          <w:b w:val="1"/>
          <w:bCs w:val="1"/>
          <w:color w:val="1f1f1f"/>
          <w:rtl w:val="0"/>
        </w:rPr>
        <w:t xml:space="preserve">LUKAI</w:t>
      </w:r>
      <w:r w:rsidDel="00000000" w:rsidR="00000000" w:rsidRPr="00000000">
        <w:rPr>
          <w:rFonts w:ascii="Google Sans" w:cs="Google Sans" w:eastAsia="Google Sans" w:hAnsi="Google Sans"/>
          <w:color w:val="1f1f1f"/>
          <w:rtl w:val="0"/>
        </w:rPr>
        <w:t xml:space="preserve">, un sabio mentor de IA que proporciona educación adaptativa verificada on-chain. Transformamos el "consejo viral" en "estrategia soberana", eliminando la pérdida de capital por desinformación.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Ineficiencia de la Infraestructura SWIFT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banca tradicional en LATAM sigue siendo onerosa. Las transferencias internacionales tardan de 1 a 5 días hábiles con comisiones de </w:t>
      </w:r>
      <w:r w:rsidDel="00000000" w:rsidR="00000000" w:rsidRPr="00000000">
        <w:rPr>
          <w:rFonts w:ascii="Google Sans" w:cs="Google Sans" w:eastAsia="Google Sans" w:hAnsi="Google Sans"/>
          <w:b w:val="1"/>
          <w:bCs w:val="1"/>
          <w:color w:val="1f1f1f"/>
          <w:rtl w:val="0"/>
        </w:rPr>
        <w:t xml:space="preserve">$20 a $65 USD</w:t>
      </w:r>
      <w:r w:rsidDel="00000000" w:rsidR="00000000" w:rsidRPr="00000000">
        <w:rPr>
          <w:rFonts w:ascii="Google Sans" w:cs="Google Sans" w:eastAsia="Google Sans" w:hAnsi="Google Sans"/>
          <w:color w:val="1f1f1f"/>
          <w:rtl w:val="0"/>
        </w:rPr>
        <w:t xml:space="preserve"> y recargos cambiarios del 2% al 4%.</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Los bancos siguen siendo el canal más caro para remesas con un costo promedio del </w:t>
      </w:r>
      <w:r w:rsidDel="00000000" w:rsidR="00000000" w:rsidRPr="00000000">
        <w:rPr>
          <w:rFonts w:ascii="Google Sans" w:cs="Google Sans" w:eastAsia="Google Sans" w:hAnsi="Google Sans"/>
          <w:b w:val="1"/>
          <w:bCs w:val="1"/>
          <w:color w:val="1f1f1f"/>
          <w:rtl w:val="0"/>
        </w:rPr>
        <w:t xml:space="preserve">13.40%</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Solana procesa transacciones con finalidad de sub-segundo y costos promedio de </w:t>
      </w:r>
      <w:r w:rsidDel="00000000" w:rsidR="00000000" w:rsidRPr="00000000">
        <w:rPr>
          <w:rFonts w:ascii="Google Sans" w:cs="Google Sans" w:eastAsia="Google Sans" w:hAnsi="Google Sans"/>
          <w:b w:val="1"/>
          <w:bCs w:val="1"/>
          <w:color w:val="1f1f1f"/>
          <w:rtl w:val="0"/>
        </w:rPr>
        <w:t xml:space="preserve">$0.00025 a $0.0005 USD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Fase 2: Unit Economics — La Ciencia de la Rentabilidad Digital</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 de CAC: El Poder de la Adquisición Orgánica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Costo de Adquisición de Cliente (CAC) es el indicador crítico de supervivencia en 2024-2025:</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Bancos Tradicionales:</w:t>
      </w:r>
      <w:r w:rsidDel="00000000" w:rsidR="00000000" w:rsidRPr="00000000">
        <w:rPr>
          <w:rFonts w:ascii="Google Sans" w:cs="Google Sans" w:eastAsia="Google Sans" w:hAnsi="Google Sans"/>
          <w:color w:val="1f1f1f"/>
          <w:rtl w:val="0"/>
        </w:rPr>
        <w:t xml:space="preserve"> Enfrentan un CAC de entre </w:t>
      </w:r>
      <w:r w:rsidDel="00000000" w:rsidR="00000000" w:rsidRPr="00000000">
        <w:rPr>
          <w:rFonts w:ascii="Google Sans" w:cs="Google Sans" w:eastAsia="Google Sans" w:hAnsi="Google Sans"/>
          <w:b w:val="1"/>
          <w:bCs w:val="1"/>
          <w:color w:val="1f1f1f"/>
          <w:rtl w:val="0"/>
        </w:rPr>
        <w:t xml:space="preserve">$150 y $350 USD</w:t>
      </w:r>
      <w:r w:rsidDel="00000000" w:rsidR="00000000" w:rsidRPr="00000000">
        <w:rPr>
          <w:rFonts w:ascii="Google Sans" w:cs="Google Sans" w:eastAsia="Google Sans" w:hAnsi="Google Sans"/>
          <w:color w:val="1f1f1f"/>
          <w:rtl w:val="0"/>
        </w:rPr>
        <w:t xml:space="preserve"> debido a infraestructura física, burocracia y marketing masivo.</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Neobancos Digitales:</w:t>
      </w:r>
      <w:r w:rsidDel="00000000" w:rsidR="00000000" w:rsidRPr="00000000">
        <w:rPr>
          <w:rFonts w:ascii="Google Sans" w:cs="Google Sans" w:eastAsia="Google Sans" w:hAnsi="Google Sans"/>
          <w:color w:val="1f1f1f"/>
          <w:rtl w:val="0"/>
        </w:rPr>
        <w:t xml:space="preserve"> Han optimizado este costo al rango de </w:t>
      </w:r>
      <w:r w:rsidDel="00000000" w:rsidR="00000000" w:rsidRPr="00000000">
        <w:rPr>
          <w:rFonts w:ascii="Google Sans" w:cs="Google Sans" w:eastAsia="Google Sans" w:hAnsi="Google Sans"/>
          <w:b w:val="1"/>
          <w:bCs w:val="1"/>
          <w:color w:val="1f1f1f"/>
          <w:rtl w:val="0"/>
        </w:rPr>
        <w:t xml:space="preserve">$5 a $15 USD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LUKASH (Proyectado):</w:t>
      </w:r>
      <w:r w:rsidDel="00000000" w:rsidR="00000000" w:rsidRPr="00000000">
        <w:rPr>
          <w:rFonts w:ascii="Google Sans" w:cs="Google Sans" w:eastAsia="Google Sans" w:hAnsi="Google Sans"/>
          <w:color w:val="1f1f1f"/>
          <w:rtl w:val="0"/>
        </w:rPr>
        <w:t xml:space="preserve"> Apunta a un CAC de </w:t>
      </w:r>
      <w:r w:rsidDel="00000000" w:rsidR="00000000" w:rsidRPr="00000000">
        <w:rPr>
          <w:rFonts w:ascii="Google Sans" w:cs="Google Sans" w:eastAsia="Google Sans" w:hAnsi="Google Sans"/>
          <w:b w:val="1"/>
          <w:bCs w:val="1"/>
          <w:color w:val="1f1f1f"/>
          <w:rtl w:val="0"/>
        </w:rPr>
        <w:t xml:space="preserve">$3.00 USD</w:t>
      </w:r>
      <w:r w:rsidDel="00000000" w:rsidR="00000000" w:rsidRPr="00000000">
        <w:rPr>
          <w:rFonts w:ascii="Google Sans" w:cs="Google Sans" w:eastAsia="Google Sans" w:hAnsi="Google Sans"/>
          <w:color w:val="1f1f1f"/>
          <w:rtl w:val="0"/>
        </w:rPr>
        <w:t xml:space="preserve"> utilizando una narrativa de "Infraestructura Cultural" y viralidad profesionalizada.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Dato Estadístico Clave:</w:t>
      </w:r>
      <w:r w:rsidDel="00000000" w:rsidR="00000000" w:rsidRPr="00000000">
        <w:rPr>
          <w:rFonts w:ascii="Google Sans" w:cs="Google Sans" w:eastAsia="Google Sans" w:hAnsi="Google Sans"/>
          <w:color w:val="1f1f1f"/>
          <w:rtl w:val="0"/>
        </w:rPr>
        <w:t xml:space="preserve"> Las aplicaciones móviles son el canal de adquisición más barato para fintechs ($2.33-$6.00 por usuario).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Gamificación como Motor de Retención y LTV</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gamificación no es "juego", es una estrategia psicométrica. Las instituciones que integran sistemas de recompensa conductuales ven incrementos del </w:t>
      </w:r>
      <w:r w:rsidDel="00000000" w:rsidR="00000000" w:rsidRPr="00000000">
        <w:rPr>
          <w:rFonts w:ascii="Google Sans" w:cs="Google Sans" w:eastAsia="Google Sans" w:hAnsi="Google Sans"/>
          <w:b w:val="1"/>
          <w:bCs w:val="1"/>
          <w:color w:val="1f1f1f"/>
          <w:rtl w:val="0"/>
        </w:rPr>
        <w:t xml:space="preserve">18% al 35%</w:t>
      </w:r>
      <w:r w:rsidDel="00000000" w:rsidR="00000000" w:rsidRPr="00000000">
        <w:rPr>
          <w:rFonts w:ascii="Google Sans" w:cs="Google Sans" w:eastAsia="Google Sans" w:hAnsi="Google Sans"/>
          <w:color w:val="1f1f1f"/>
          <w:rtl w:val="0"/>
        </w:rPr>
        <w:t xml:space="preserve"> en el compromiso del usuario.</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Efecto Gradiente:</w:t>
      </w:r>
      <w:r w:rsidDel="00000000" w:rsidR="00000000" w:rsidRPr="00000000">
        <w:rPr>
          <w:rFonts w:ascii="Google Sans" w:cs="Google Sans" w:eastAsia="Google Sans" w:hAnsi="Google Sans"/>
          <w:color w:val="1f1f1f"/>
          <w:rtl w:val="0"/>
        </w:rPr>
        <w:t xml:space="preserve"> Los usuarios expuestos a visualizaciones de progreso (como el Jaguar Score) ahorran, en promedio, un </w:t>
      </w:r>
      <w:r w:rsidDel="00000000" w:rsidR="00000000" w:rsidRPr="00000000">
        <w:rPr>
          <w:rFonts w:ascii="Google Sans" w:cs="Google Sans" w:eastAsia="Google Sans" w:hAnsi="Google Sans"/>
          <w:b w:val="1"/>
          <w:bCs w:val="1"/>
          <w:color w:val="1f1f1f"/>
          <w:rtl w:val="0"/>
        </w:rPr>
        <w:t xml:space="preserve">23% más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Rentabilidad:</w:t>
      </w:r>
      <w:r w:rsidDel="00000000" w:rsidR="00000000" w:rsidRPr="00000000">
        <w:rPr>
          <w:rFonts w:ascii="Google Sans" w:cs="Google Sans" w:eastAsia="Google Sans" w:hAnsi="Google Sans"/>
          <w:color w:val="1f1f1f"/>
          <w:rtl w:val="0"/>
        </w:rPr>
        <w:t xml:space="preserve"> Retener a un cliente mediante niveles de lealtad gamificados es hasta </w:t>
      </w:r>
      <w:r w:rsidDel="00000000" w:rsidR="00000000" w:rsidRPr="00000000">
        <w:rPr>
          <w:rFonts w:ascii="Google Sans" w:cs="Google Sans" w:eastAsia="Google Sans" w:hAnsi="Google Sans"/>
          <w:b w:val="1"/>
          <w:bCs w:val="1"/>
          <w:color w:val="1f1f1f"/>
          <w:rtl w:val="0"/>
        </w:rPr>
        <w:t xml:space="preserve">5 veces más rentable</w:t>
      </w:r>
      <w:r w:rsidDel="00000000" w:rsidR="00000000" w:rsidRPr="00000000">
        <w:rPr>
          <w:rFonts w:ascii="Google Sans" w:cs="Google Sans" w:eastAsia="Google Sans" w:hAnsi="Google Sans"/>
          <w:color w:val="1f1f1f"/>
          <w:rtl w:val="0"/>
        </w:rPr>
        <w:t xml:space="preserve"> que adquirir uno nuevo.</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Argumento de Venta:</w:t>
      </w:r>
      <w:r w:rsidDel="00000000" w:rsidR="00000000" w:rsidRPr="00000000">
        <w:rPr>
          <w:rFonts w:ascii="Google Sans" w:cs="Google Sans" w:eastAsia="Google Sans" w:hAnsi="Google Sans"/>
          <w:color w:val="1f1f1f"/>
          <w:rtl w:val="0"/>
        </w:rPr>
        <w:t xml:space="preserve"> El LTV de un usuario de LUKASH no se mide por sus deudas, sino por su crecimiento patrimonial, garantizando una relación comercial a perpetuidad mediante un "Costo de Salida Psicológico" basado en su estatus financiero digital (Jaguar Score).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Fase 3: Validación Conceptual — El Estándar KASH y el Futuro RWA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innovación radical de LUKASH es el </w:t>
      </w:r>
      <w:r w:rsidDel="00000000" w:rsidR="00000000" w:rsidRPr="00000000">
        <w:rPr>
          <w:rFonts w:ascii="Google Sans" w:cs="Google Sans" w:eastAsia="Google Sans" w:hAnsi="Google Sans"/>
          <w:b w:val="1"/>
          <w:bCs w:val="1"/>
          <w:color w:val="1f1f1f"/>
          <w:rtl w:val="0"/>
        </w:rPr>
        <w:t xml:space="preserve">Estándar KASH (Reserva Fraccionaria Inversa)</w:t>
      </w:r>
      <w:r w:rsidDel="00000000" w:rsidR="00000000" w:rsidRPr="00000000">
        <w:rPr>
          <w:rFonts w:ascii="Google Sans" w:cs="Google Sans" w:eastAsia="Google Sans" w:hAnsi="Google Sans"/>
          <w:color w:val="1f1f1f"/>
          <w:rtl w:val="0"/>
        </w:rPr>
        <w:t xml:space="preserve">: cada $LUKA está respaldado por una reserva creciente de activos duros (cBTC, SOL, USDC) auditada on-chain.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Mercado de los $16 Billones (RWA)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tokenización de activos del mundo real (RWA) ha pasado de experimento a infraestructura sistémica.</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Crecimiento:</w:t>
      </w:r>
      <w:r w:rsidDel="00000000" w:rsidR="00000000" w:rsidRPr="00000000">
        <w:rPr>
          <w:rFonts w:ascii="Google Sans" w:cs="Google Sans" w:eastAsia="Google Sans" w:hAnsi="Google Sans"/>
          <w:color w:val="1f1f1f"/>
          <w:rtl w:val="0"/>
        </w:rPr>
        <w:t xml:space="preserve"> En la primera mitad de 2025, el mercado de RWA saltó de $8.6B a más de </w:t>
      </w:r>
      <w:r w:rsidDel="00000000" w:rsidR="00000000" w:rsidRPr="00000000">
        <w:rPr>
          <w:rFonts w:ascii="Google Sans" w:cs="Google Sans" w:eastAsia="Google Sans" w:hAnsi="Google Sans"/>
          <w:b w:val="1"/>
          <w:bCs w:val="1"/>
          <w:color w:val="1f1f1f"/>
          <w:rtl w:val="0"/>
        </w:rPr>
        <w:t xml:space="preserve">$25 mil millones</w:t>
      </w:r>
      <w:r w:rsidDel="00000000" w:rsidR="00000000" w:rsidRPr="00000000">
        <w:rPr>
          <w:rFonts w:ascii="Google Sans" w:cs="Google Sans" w:eastAsia="Google Sans" w:hAnsi="Google Sans"/>
          <w:color w:val="1f1f1f"/>
          <w:rtl w:val="0"/>
        </w:rPr>
        <w:t xml:space="preserve">, un crecimiento del 260% en meses.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Proyección 2030:</w:t>
      </w:r>
      <w:r w:rsidDel="00000000" w:rsidR="00000000" w:rsidRPr="00000000">
        <w:rPr>
          <w:rFonts w:ascii="Google Sans" w:cs="Google Sans" w:eastAsia="Google Sans" w:hAnsi="Google Sans"/>
          <w:color w:val="1f1f1f"/>
          <w:rtl w:val="0"/>
        </w:rPr>
        <w:t xml:space="preserve"> Boston Consulting Group (BCG) estima que el mercado alcanzará los </w:t>
      </w:r>
      <w:r w:rsidDel="00000000" w:rsidR="00000000" w:rsidRPr="00000000">
        <w:rPr>
          <w:rFonts w:ascii="Google Sans" w:cs="Google Sans" w:eastAsia="Google Sans" w:hAnsi="Google Sans"/>
          <w:b w:val="1"/>
          <w:bCs w:val="1"/>
          <w:color w:val="1f1f1f"/>
          <w:rtl w:val="0"/>
        </w:rPr>
        <w:t xml:space="preserve">$16 billones de dólares</w:t>
      </w:r>
      <w:r w:rsidDel="00000000" w:rsidR="00000000" w:rsidRPr="00000000">
        <w:rPr>
          <w:rFonts w:ascii="Google Sans" w:cs="Google Sans" w:eastAsia="Google Sans" w:hAnsi="Google Sans"/>
          <w:color w:val="1f1f1f"/>
          <w:rtl w:val="0"/>
        </w:rPr>
        <w:t xml:space="preserve"> (10% del PIB global).</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Crédito Privado:</w:t>
      </w:r>
      <w:r w:rsidDel="00000000" w:rsidR="00000000" w:rsidRPr="00000000">
        <w:rPr>
          <w:rFonts w:ascii="Google Sans" w:cs="Google Sans" w:eastAsia="Google Sans" w:hAnsi="Google Sans"/>
          <w:color w:val="1f1f1f"/>
          <w:rtl w:val="0"/>
        </w:rPr>
        <w:t xml:space="preserve"> Es el segmento dominante con más de </w:t>
      </w:r>
      <w:r w:rsidDel="00000000" w:rsidR="00000000" w:rsidRPr="00000000">
        <w:rPr>
          <w:rFonts w:ascii="Google Sans" w:cs="Google Sans" w:eastAsia="Google Sans" w:hAnsi="Google Sans"/>
          <w:b w:val="1"/>
          <w:bCs w:val="1"/>
          <w:color w:val="1f1f1f"/>
          <w:rtl w:val="0"/>
        </w:rPr>
        <w:t xml:space="preserve">$18.9 mil millones</w:t>
      </w:r>
      <w:r w:rsidDel="00000000" w:rsidR="00000000" w:rsidRPr="00000000">
        <w:rPr>
          <w:rFonts w:ascii="Google Sans" w:cs="Google Sans" w:eastAsia="Google Sans" w:hAnsi="Google Sans"/>
          <w:color w:val="1f1f1f"/>
          <w:rtl w:val="0"/>
        </w:rPr>
        <w:t xml:space="preserve"> en valor activo.</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Argumento de Venta:</w:t>
      </w:r>
      <w:r w:rsidDel="00000000" w:rsidR="00000000" w:rsidRPr="00000000">
        <w:rPr>
          <w:rFonts w:ascii="Google Sans" w:cs="Google Sans" w:eastAsia="Google Sans" w:hAnsi="Google Sans"/>
          <w:color w:val="1f1f1f"/>
          <w:rtl w:val="0"/>
        </w:rPr>
        <w:t xml:space="preserve"> LUKASH es la puerta de entrada al mercado de $16 trillones de RWA para el minorista de LATAM, permitiendo a las "Manadas" invertir colectivamente en activos antes inaccesibles.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Solana como Infraestructura Institucional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red Solana se ha consolidado como el "Ferrocarril de las Finanzas Globales":</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Visa:</w:t>
      </w:r>
      <w:r w:rsidDel="00000000" w:rsidR="00000000" w:rsidRPr="00000000">
        <w:rPr>
          <w:rFonts w:ascii="Google Sans" w:cs="Google Sans" w:eastAsia="Google Sans" w:hAnsi="Google Sans"/>
          <w:color w:val="1f1f1f"/>
          <w:rtl w:val="0"/>
        </w:rPr>
        <w:t xml:space="preserve"> En 2025 integró a Solana en su red de liquidación de stablecoins para USDC y EURC por su velocidad.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ETF de Solana:</w:t>
      </w:r>
      <w:r w:rsidDel="00000000" w:rsidR="00000000" w:rsidRPr="00000000">
        <w:rPr>
          <w:rFonts w:ascii="Google Sans" w:cs="Google Sans" w:eastAsia="Google Sans" w:hAnsi="Google Sans"/>
          <w:color w:val="1f1f1f"/>
          <w:rtl w:val="0"/>
        </w:rPr>
        <w:t xml:space="preserve"> La aprobación de ETFs de firmas como Bitwise y Fidelity marca la entrada del capital regulado.</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Volumen Masivo:</w:t>
      </w:r>
      <w:r w:rsidDel="00000000" w:rsidR="00000000" w:rsidRPr="00000000">
        <w:rPr>
          <w:rFonts w:ascii="Google Sans" w:cs="Google Sans" w:eastAsia="Google Sans" w:hAnsi="Google Sans"/>
          <w:color w:val="1f1f1f"/>
          <w:rtl w:val="0"/>
        </w:rPr>
        <w:t xml:space="preserve"> En su pico de 2025, Solana procesó </w:t>
      </w:r>
      <w:r w:rsidDel="00000000" w:rsidR="00000000" w:rsidRPr="00000000">
        <w:rPr>
          <w:rFonts w:ascii="Google Sans" w:cs="Google Sans" w:eastAsia="Google Sans" w:hAnsi="Google Sans"/>
          <w:b w:val="1"/>
          <w:bCs w:val="1"/>
          <w:color w:val="1f1f1f"/>
          <w:rtl w:val="0"/>
        </w:rPr>
        <w:t xml:space="preserve">$364 mil millones de dólares</w:t>
      </w:r>
      <w:r w:rsidDel="00000000" w:rsidR="00000000" w:rsidRPr="00000000">
        <w:rPr>
          <w:rFonts w:ascii="Google Sans" w:cs="Google Sans" w:eastAsia="Google Sans" w:hAnsi="Google Sans"/>
          <w:color w:val="1f1f1f"/>
          <w:rtl w:val="0"/>
        </w:rPr>
        <w:t xml:space="preserve"> en volumen, superando el volumen combinado de Ethereum y Coinbase, y representando el 50% del volumen de Nasdaq en ese periodo.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Fase 4: Marco Legal y Perspectivas 2025-2030</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Influencia de MiCA y Leyes Fintech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reglamento MiCA de la UE es el nuevo estándar global. Exige respaldo de reserva 1:1 y auditorías estrictas, principios que LUKASH integra en su </w:t>
      </w:r>
      <w:r w:rsidDel="00000000" w:rsidR="00000000" w:rsidRPr="00000000">
        <w:rPr>
          <w:rFonts w:ascii="Google Sans" w:cs="Google Sans" w:eastAsia="Google Sans" w:hAnsi="Google Sans"/>
          <w:b w:val="1"/>
          <w:bCs w:val="1"/>
          <w:color w:val="1f1f1f"/>
          <w:rtl w:val="0"/>
        </w:rPr>
        <w:t xml:space="preserve">Protocolo de Colateralización Multiactivo (PCM)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México:</w:t>
      </w:r>
      <w:r w:rsidDel="00000000" w:rsidR="00000000" w:rsidRPr="00000000">
        <w:rPr>
          <w:rFonts w:ascii="Google Sans" w:cs="Google Sans" w:eastAsia="Google Sans" w:hAnsi="Google Sans"/>
          <w:color w:val="1f1f1f"/>
          <w:rtl w:val="0"/>
        </w:rPr>
        <w:t xml:space="preserve"> La Estrategia Nacional de Finanzas Digitales 2025-2030 moderniza la Ley Fintech para fomentar la competencia digital.</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Colombia:</w:t>
      </w:r>
      <w:r w:rsidDel="00000000" w:rsidR="00000000" w:rsidRPr="00000000">
        <w:rPr>
          <w:rFonts w:ascii="Google Sans" w:cs="Google Sans" w:eastAsia="Google Sans" w:hAnsi="Google Sans"/>
          <w:color w:val="1f1f1f"/>
          <w:rtl w:val="0"/>
        </w:rPr>
        <w:t xml:space="preserve"> La SFC utiliza su Sandbox para probar pilotos de tokenización de RWA y sistemas de pago instantáneo (Bre-B).</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Hub Estratégico El Salvador:</w:t>
      </w:r>
      <w:r w:rsidDel="00000000" w:rsidR="00000000" w:rsidRPr="00000000">
        <w:rPr>
          <w:rFonts w:ascii="Google Sans" w:cs="Google Sans" w:eastAsia="Google Sans" w:hAnsi="Google Sans"/>
          <w:color w:val="1f1f1f"/>
          <w:rtl w:val="0"/>
        </w:rPr>
        <w:t xml:space="preserve"> Ofrece licencias DASP rápidas (3-6 meses), </w:t>
      </w:r>
      <w:r w:rsidDel="00000000" w:rsidR="00000000" w:rsidRPr="00000000">
        <w:rPr>
          <w:rFonts w:ascii="Google Sans" w:cs="Google Sans" w:eastAsia="Google Sans" w:hAnsi="Google Sans"/>
          <w:b w:val="1"/>
          <w:bCs w:val="1"/>
          <w:color w:val="1f1f1f"/>
          <w:rtl w:val="0"/>
        </w:rPr>
        <w:t xml:space="preserve">0% impuestos</w:t>
      </w:r>
      <w:r w:rsidDel="00000000" w:rsidR="00000000" w:rsidRPr="00000000">
        <w:rPr>
          <w:rFonts w:ascii="Google Sans" w:cs="Google Sans" w:eastAsia="Google Sans" w:hAnsi="Google Sans"/>
          <w:color w:val="1f1f1f"/>
          <w:rtl w:val="0"/>
        </w:rPr>
        <w:t xml:space="preserve"> sobre ganancias de capital y bancos pro-Bitcoin para rampas on/off.</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Fase 5: Solución a Críticas — Evolución de Fase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la Viralidad Memética a la Infraestructura Cultural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Abordamos la desconfianza del "meme" transformándolo en </w:t>
      </w:r>
      <w:r w:rsidDel="00000000" w:rsidR="00000000" w:rsidRPr="00000000">
        <w:rPr>
          <w:rFonts w:ascii="Google Sans" w:cs="Google Sans" w:eastAsia="Google Sans" w:hAnsi="Google Sans"/>
          <w:b w:val="1"/>
          <w:bCs w:val="1"/>
          <w:color w:val="1f1f1f"/>
          <w:rtl w:val="0"/>
        </w:rPr>
        <w:t xml:space="preserve">Comunidades de Propiedad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Engagement:</w:t>
      </w:r>
      <w:r w:rsidDel="00000000" w:rsidR="00000000" w:rsidRPr="00000000">
        <w:rPr>
          <w:rFonts w:ascii="Google Sans" w:cs="Google Sans" w:eastAsia="Google Sans" w:hAnsi="Google Sans"/>
          <w:color w:val="1f1f1f"/>
          <w:rtl w:val="0"/>
        </w:rPr>
        <w:t xml:space="preserve"> Los participantes en ecosistemas culturales descentralizados demuestran métricas de compromiso </w:t>
      </w:r>
      <w:r w:rsidDel="00000000" w:rsidR="00000000" w:rsidRPr="00000000">
        <w:rPr>
          <w:rFonts w:ascii="Google Sans" w:cs="Google Sans" w:eastAsia="Google Sans" w:hAnsi="Google Sans"/>
          <w:b w:val="1"/>
          <w:bCs w:val="1"/>
          <w:color w:val="1f1f1f"/>
          <w:rtl w:val="0"/>
        </w:rPr>
        <w:t xml:space="preserve">3.2 veces más altas</w:t>
      </w:r>
      <w:r w:rsidDel="00000000" w:rsidR="00000000" w:rsidRPr="00000000">
        <w:rPr>
          <w:rFonts w:ascii="Google Sans" w:cs="Google Sans" w:eastAsia="Google Sans" w:hAnsi="Google Sans"/>
          <w:color w:val="1f1f1f"/>
          <w:rtl w:val="0"/>
        </w:rPr>
        <w:t xml:space="preserve"> que en plataformas convencionales.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Retención de Valor:</w:t>
      </w:r>
      <w:r w:rsidDel="00000000" w:rsidR="00000000" w:rsidRPr="00000000">
        <w:rPr>
          <w:rFonts w:ascii="Google Sans" w:cs="Google Sans" w:eastAsia="Google Sans" w:hAnsi="Google Sans"/>
          <w:color w:val="1f1f1f"/>
          <w:rtl w:val="0"/>
        </w:rPr>
        <w:t xml:space="preserve"> Los creadores retienen el </w:t>
      </w:r>
      <w:r w:rsidDel="00000000" w:rsidR="00000000" w:rsidRPr="00000000">
        <w:rPr>
          <w:rFonts w:ascii="Google Sans" w:cs="Google Sans" w:eastAsia="Google Sans" w:hAnsi="Google Sans"/>
          <w:b w:val="1"/>
          <w:bCs w:val="1"/>
          <w:color w:val="1f1f1f"/>
          <w:rtl w:val="0"/>
        </w:rPr>
        <w:t xml:space="preserve">92% del valor generado</w:t>
      </w:r>
      <w:r w:rsidDel="00000000" w:rsidR="00000000" w:rsidRPr="00000000">
        <w:rPr>
          <w:rFonts w:ascii="Google Sans" w:cs="Google Sans" w:eastAsia="Google Sans" w:hAnsi="Google Sans"/>
          <w:color w:val="1f1f1f"/>
          <w:rtl w:val="0"/>
        </w:rPr>
        <w:t xml:space="preserve">, comparado con el 15-30% en plataformas tradicionales.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Conexión de las 3 Fases: El Funnel de Soberanía</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Fase 1 (Entrenamiento):</w:t>
      </w:r>
      <w:r w:rsidDel="00000000" w:rsidR="00000000" w:rsidRPr="00000000">
        <w:rPr>
          <w:rFonts w:ascii="Google Sans" w:cs="Google Sans" w:eastAsia="Google Sans" w:hAnsi="Google Sans"/>
          <w:color w:val="1f1f1f"/>
          <w:rtl w:val="0"/>
        </w:rPr>
        <w:t xml:space="preserve"> El simulador/juego es el filtro de riesgo y onboarding educativo.</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Fase 2 (Transaccional):</w:t>
      </w:r>
      <w:r w:rsidDel="00000000" w:rsidR="00000000" w:rsidRPr="00000000">
        <w:rPr>
          <w:rFonts w:ascii="Google Sans" w:cs="Google Sans" w:eastAsia="Google Sans" w:hAnsi="Google Sans"/>
          <w:color w:val="1f1f1f"/>
          <w:rtl w:val="0"/>
        </w:rPr>
        <w:t xml:space="preserve"> La Wallet Interactiva convierte el aprendizaje en uso diario de capital.</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Fase 3 (Soberanía):</w:t>
      </w:r>
      <w:r w:rsidDel="00000000" w:rsidR="00000000" w:rsidRPr="00000000">
        <w:rPr>
          <w:rFonts w:ascii="Google Sans" w:cs="Google Sans" w:eastAsia="Google Sans" w:hAnsi="Google Sans"/>
          <w:color w:val="1f1f1f"/>
          <w:rtl w:val="0"/>
        </w:rPr>
        <w:t xml:space="preserve"> El neobanco descentralizado conecta al usuario con activos reales (RWA) y pagos globales.</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El Jaguar Shield: Arquitectura de Defensa y Solvencia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credibilidad institucional se basa en la resistencia a escenarios adversos.</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Riesgo de Ruina (0.0%):</w:t>
      </w:r>
      <w:r w:rsidDel="00000000" w:rsidR="00000000" w:rsidRPr="00000000">
        <w:rPr>
          <w:rFonts w:ascii="Google Sans" w:cs="Google Sans" w:eastAsia="Google Sans" w:hAnsi="Google Sans"/>
          <w:color w:val="1f1f1f"/>
          <w:rtl w:val="0"/>
        </w:rPr>
        <w:t xml:space="preserve"> Validado por 5,000 iteraciones de simulaciones Monte Carlo con un Vault base de $25M.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Throttle Dinámico:</w:t>
      </w:r>
      <w:r w:rsidDel="00000000" w:rsidR="00000000" w:rsidRPr="00000000">
        <w:rPr>
          <w:rFonts w:ascii="Google Sans" w:cs="Google Sans" w:eastAsia="Google Sans" w:hAnsi="Google Sans"/>
          <w:color w:val="1f1f1f"/>
          <w:rtl w:val="0"/>
        </w:rPr>
        <w:t xml:space="preserve"> Modula la tasa de quema y compensación según el precio relativo a la </w:t>
      </w:r>
      <w:r w:rsidDel="00000000" w:rsidR="00000000" w:rsidRPr="00000000">
        <w:rPr>
          <w:rFonts w:ascii="Google Sans" w:cs="Google Sans" w:eastAsia="Google Sans" w:hAnsi="Google Sans"/>
          <w:b w:val="1"/>
          <w:bCs w:val="1"/>
          <w:color w:val="1f1f1f"/>
          <w:rtl w:val="0"/>
        </w:rPr>
        <w:t xml:space="preserve">EMA30</w:t>
      </w:r>
      <w:r w:rsidDel="00000000" w:rsidR="00000000" w:rsidRPr="00000000">
        <w:rPr>
          <w:rFonts w:ascii="Google Sans" w:cs="Google Sans" w:eastAsia="Google Sans" w:hAnsi="Google Sans"/>
          <w:color w:val="1f1f1f"/>
          <w:rtl w:val="0"/>
        </w:rPr>
        <w:t xml:space="preserve">, reduciendo la probabilidad de espiral de muerte de 8% a solo </w:t>
      </w:r>
      <w:r w:rsidDel="00000000" w:rsidR="00000000" w:rsidRPr="00000000">
        <w:rPr>
          <w:rFonts w:ascii="Google Sans" w:cs="Google Sans" w:eastAsia="Google Sans" w:hAnsi="Google Sans"/>
          <w:b w:val="1"/>
          <w:bCs w:val="1"/>
          <w:color w:val="1f1f1f"/>
          <w:rtl w:val="0"/>
        </w:rPr>
        <w:t xml:space="preserve">1.4%</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Precio KASH:</w:t>
      </w:r>
      <w:r w:rsidDel="00000000" w:rsidR="00000000" w:rsidRPr="00000000">
        <w:rPr>
          <w:rFonts w:ascii="Google Sans" w:cs="Google Sans" w:eastAsia="Google Sans" w:hAnsi="Google Sans"/>
          <w:color w:val="1f1f1f"/>
          <w:rtl w:val="0"/>
        </w:rPr>
        <w:t xml:space="preserve"> Actúa como el piso de valor garantizado por el protocolo.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1422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61422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Se proyecta un crecimiento del Precio KASH de </w:t>
      </w:r>
      <w:r w:rsidDel="00000000" w:rsidR="00000000" w:rsidRPr="00000000">
        <w:rPr>
          <w:rFonts w:ascii="Google Sans" w:cs="Google Sans" w:eastAsia="Google Sans" w:hAnsi="Google Sans"/>
          <w:b w:val="1"/>
          <w:bCs w:val="1"/>
          <w:color w:val="1f1f1f"/>
          <w:rtl w:val="0"/>
        </w:rPr>
        <w:t xml:space="preserve">113x</w:t>
      </w:r>
      <w:r w:rsidDel="00000000" w:rsidR="00000000" w:rsidRPr="00000000">
        <w:rPr>
          <w:rFonts w:ascii="Google Sans" w:cs="Google Sans" w:eastAsia="Google Sans" w:hAnsi="Google Sans"/>
          <w:color w:val="1f1f1f"/>
          <w:rtl w:val="0"/>
        </w:rPr>
        <w:t xml:space="preserve"> en 5 años basado exclusivamente en reservas reales.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Resumen de la Tesis de Inversión:</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Adquisición Eficiente:</w:t>
      </w:r>
      <w:r w:rsidDel="00000000" w:rsidR="00000000" w:rsidRPr="00000000">
        <w:rPr>
          <w:rFonts w:ascii="Google Sans" w:cs="Google Sans" w:eastAsia="Google Sans" w:hAnsi="Google Sans"/>
          <w:color w:val="1f1f1f"/>
          <w:rtl w:val="0"/>
        </w:rPr>
        <w:t xml:space="preserve"> CAC proyectado de $3.00 USD vs. $350 USD TradFi.</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Respaldo Real:</w:t>
      </w:r>
      <w:r w:rsidDel="00000000" w:rsidR="00000000" w:rsidRPr="00000000">
        <w:rPr>
          <w:rFonts w:ascii="Google Sans" w:cs="Google Sans" w:eastAsia="Google Sans" w:hAnsi="Google Sans"/>
          <w:color w:val="1f1f1f"/>
          <w:rtl w:val="0"/>
        </w:rPr>
        <w:t xml:space="preserve"> Vault de activos duros auditado on-chain con meta de $100M.</w:t>
      </w:r>
    </w:p>
    <w:p w:rsidR="00000000" w:rsidDel="00000000" w:rsidP="00000000" w:rsidRDefault="00000000" w:rsidRPr="00000000" w14:paraId="0000004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Seguridad Matemática:</w:t>
      </w:r>
      <w:r w:rsidDel="00000000" w:rsidR="00000000" w:rsidRPr="00000000">
        <w:rPr>
          <w:rFonts w:ascii="Google Sans" w:cs="Google Sans" w:eastAsia="Google Sans" w:hAnsi="Google Sans"/>
          <w:color w:val="1f1f1f"/>
          <w:rtl w:val="0"/>
        </w:rPr>
        <w:t xml:space="preserve"> Riesgo de ruina 0.0% bajo el Standard KASH.</w:t>
      </w:r>
    </w:p>
    <w:p w:rsidR="00000000" w:rsidDel="00000000" w:rsidP="00000000" w:rsidRDefault="00000000" w:rsidRPr="00000000" w14:paraId="0000004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Infraestructura:</w:t>
      </w:r>
      <w:r w:rsidDel="00000000" w:rsidR="00000000" w:rsidRPr="00000000">
        <w:rPr>
          <w:rFonts w:ascii="Google Sans" w:cs="Google Sans" w:eastAsia="Google Sans" w:hAnsi="Google Sans"/>
          <w:color w:val="1f1f1f"/>
          <w:rtl w:val="0"/>
        </w:rPr>
        <w:t xml:space="preserve"> Operación sobre Solana, red validada por Visa y Google Cloud.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manada está lista; la evolución hacia la soberanía bancaria es inevitable.</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LUKASH Business Model v1.0.docx</w:t>
      </w:r>
    </w:p>
    <w:p w:rsidR="00000000" w:rsidDel="00000000" w:rsidP="00000000" w:rsidRDefault="00000000" w:rsidRPr="00000000" w14:paraId="0000004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REPORTE DE INCLUSIÓN FINANCIERA - Banca de las ..., fecha de acceso: marzo 2, 2026, </w:t>
      </w:r>
      <w:hyperlink r:id="rId7">
        <w:r w:rsidDel="00000000" w:rsidR="00000000" w:rsidRPr="00000000">
          <w:rPr>
            <w:rFonts w:ascii="Google Sans" w:cs="Google Sans" w:eastAsia="Google Sans" w:hAnsi="Google Sans"/>
            <w:color w:val="0000ee"/>
            <w:sz w:val="24"/>
            <w:szCs w:val="24"/>
            <w:u w:val="single"/>
            <w:rtl w:val="0"/>
          </w:rPr>
          <w:t xml:space="preserve">https://www.bancadelasoportunidades.gov.co/sites/default/files/2025-05/BDO_RIF%202024_29052025.pdf</w:t>
        </w:r>
      </w:hyperlink>
      <w:r w:rsidDel="00000000" w:rsidR="00000000" w:rsidRPr="00000000">
        <w:rPr>
          <w:rtl w:val="0"/>
        </w:rPr>
      </w:r>
    </w:p>
    <w:p w:rsidR="00000000" w:rsidDel="00000000" w:rsidP="00000000" w:rsidRDefault="00000000" w:rsidRPr="00000000" w14:paraId="0000004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Reporte de Inclusión Financiera 2024 - Banca de las Oportunidades, fecha de acceso: marzo 2, 2026, </w:t>
      </w:r>
      <w:hyperlink r:id="rId8">
        <w:r w:rsidDel="00000000" w:rsidR="00000000" w:rsidRPr="00000000">
          <w:rPr>
            <w:rFonts w:ascii="Google Sans" w:cs="Google Sans" w:eastAsia="Google Sans" w:hAnsi="Google Sans"/>
            <w:color w:val="0000ee"/>
            <w:sz w:val="24"/>
            <w:szCs w:val="24"/>
            <w:u w:val="single"/>
            <w:rtl w:val="0"/>
          </w:rPr>
          <w:t xml:space="preserve">https://www.bancadelasoportunidades.gov.co/sites/default/files/2025-05/BDO_RIF%202024_COMPLETO%201.pdf</w:t>
        </w:r>
      </w:hyperlink>
      <w:r w:rsidDel="00000000" w:rsidR="00000000" w:rsidRPr="00000000">
        <w:rPr>
          <w:rtl w:val="0"/>
        </w:rPr>
      </w:r>
    </w:p>
    <w:p w:rsidR="00000000" w:rsidDel="00000000" w:rsidP="00000000" w:rsidRDefault="00000000" w:rsidRPr="00000000" w14:paraId="0000004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REPORTE DE RESULTADOS 7/25 ENCUESTA NACIONAL ... - Inegi, fecha de acceso: marzo 2, 2026, </w:t>
      </w:r>
      <w:hyperlink r:id="rId9">
        <w:r w:rsidDel="00000000" w:rsidR="00000000" w:rsidRPr="00000000">
          <w:rPr>
            <w:rFonts w:ascii="Google Sans" w:cs="Google Sans" w:eastAsia="Google Sans" w:hAnsi="Google Sans"/>
            <w:color w:val="0000ee"/>
            <w:sz w:val="24"/>
            <w:szCs w:val="24"/>
            <w:u w:val="single"/>
            <w:rtl w:val="0"/>
          </w:rPr>
          <w:t xml:space="preserve">https://www.inegi.org.mx/contenidos/saladeprensa/boletines/2025/enif/ENIF2024_RR.pdf</w:t>
        </w:r>
      </w:hyperlink>
      <w:r w:rsidDel="00000000" w:rsidR="00000000" w:rsidRPr="00000000">
        <w:rPr>
          <w:rtl w:val="0"/>
        </w:rPr>
      </w:r>
    </w:p>
    <w:p w:rsidR="00000000" w:rsidDel="00000000" w:rsidP="00000000" w:rsidRDefault="00000000" w:rsidRPr="00000000" w14:paraId="0000004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Americans Use Social Media for Financial Advice, fecha de acceso: marzo 2, 2026, </w:t>
      </w:r>
      <w:hyperlink r:id="rId10">
        <w:r w:rsidDel="00000000" w:rsidR="00000000" w:rsidRPr="00000000">
          <w:rPr>
            <w:rFonts w:ascii="Google Sans" w:cs="Google Sans" w:eastAsia="Google Sans" w:hAnsi="Google Sans"/>
            <w:color w:val="0000ee"/>
            <w:sz w:val="24"/>
            <w:szCs w:val="24"/>
            <w:u w:val="single"/>
            <w:rtl w:val="0"/>
          </w:rPr>
          <w:t xml:space="preserve">https://www.philadelphiafed.org/consumer-finance/how-americans-use-social-media-for-financial-advice</w:t>
        </w:r>
      </w:hyperlink>
      <w:r w:rsidDel="00000000" w:rsidR="00000000" w:rsidRPr="00000000">
        <w:rPr>
          <w:rtl w:val="0"/>
        </w:rPr>
      </w:r>
    </w:p>
    <w:p w:rsidR="00000000" w:rsidDel="00000000" w:rsidP="00000000" w:rsidRDefault="00000000" w:rsidRPr="00000000" w14:paraId="0000004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Social Media in Shaping Investment Trends Among College Students - ScholarWorks@UARK, fecha de acceso: marzo 2, 2026, </w:t>
      </w:r>
      <w:hyperlink r:id="rId11">
        <w:r w:rsidDel="00000000" w:rsidR="00000000" w:rsidRPr="00000000">
          <w:rPr>
            <w:rFonts w:ascii="Google Sans" w:cs="Google Sans" w:eastAsia="Google Sans" w:hAnsi="Google Sans"/>
            <w:color w:val="0000ee"/>
            <w:sz w:val="24"/>
            <w:szCs w:val="24"/>
            <w:u w:val="single"/>
            <w:rtl w:val="0"/>
          </w:rPr>
          <w:t xml:space="preserve">https://scholarworks.uark.edu/cgi/viewcontent.cgi?article=1155&amp;context=finnuht</w:t>
        </w:r>
      </w:hyperlink>
      <w:r w:rsidDel="00000000" w:rsidR="00000000" w:rsidRPr="00000000">
        <w:rPr>
          <w:rtl w:val="0"/>
        </w:rPr>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Americans Use Social Media for Financial Advice - Federal Reserve Bank of Philadelphia, fecha de acceso: marzo 2, 2026, </w:t>
      </w:r>
      <w:hyperlink r:id="rId12">
        <w:r w:rsidDel="00000000" w:rsidR="00000000" w:rsidRPr="00000000">
          <w:rPr>
            <w:rFonts w:ascii="Google Sans" w:cs="Google Sans" w:eastAsia="Google Sans" w:hAnsi="Google Sans"/>
            <w:color w:val="0000ee"/>
            <w:sz w:val="24"/>
            <w:szCs w:val="24"/>
            <w:u w:val="single"/>
            <w:rtl w:val="0"/>
          </w:rPr>
          <w:t xml:space="preserve">https://www.philadelphiafed.org/-/media/FRBP/Assets/Consumer-Finance/Reports/how-americans-use-social-media-for-financial-advice.pdf</w:t>
        </w:r>
      </w:hyperlink>
      <w:r w:rsidDel="00000000" w:rsidR="00000000" w:rsidRPr="00000000">
        <w:rPr>
          <w:rtl w:val="0"/>
        </w:rPr>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principales estafas de 2024 | Consumer Advice - La Comisión Federal de Comercio, fecha de acceso: marzo 2, 2026, </w:t>
      </w:r>
      <w:hyperlink r:id="rId13">
        <w:r w:rsidDel="00000000" w:rsidR="00000000" w:rsidRPr="00000000">
          <w:rPr>
            <w:rFonts w:ascii="Google Sans" w:cs="Google Sans" w:eastAsia="Google Sans" w:hAnsi="Google Sans"/>
            <w:color w:val="0000ee"/>
            <w:sz w:val="24"/>
            <w:szCs w:val="24"/>
            <w:u w:val="single"/>
            <w:rtl w:val="0"/>
          </w:rPr>
          <w:t xml:space="preserve">https://consumidor.ftc.gov/alertas-para-consumidores/2025/03/las-principales-estafas-de-2024</w:t>
        </w:r>
      </w:hyperlink>
      <w:r w:rsidDel="00000000" w:rsidR="00000000" w:rsidRPr="00000000">
        <w:rPr>
          <w:rtl w:val="0"/>
        </w:rPr>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hacer una transferencia internacional de dinero? Costos, tiempos y requisitos, fecha de acceso: marzo 2, 2026, </w:t>
      </w:r>
      <w:hyperlink r:id="rId14">
        <w:r w:rsidDel="00000000" w:rsidR="00000000" w:rsidRPr="00000000">
          <w:rPr>
            <w:rFonts w:ascii="Google Sans" w:cs="Google Sans" w:eastAsia="Google Sans" w:hAnsi="Google Sans"/>
            <w:color w:val="0000ee"/>
            <w:sz w:val="24"/>
            <w:szCs w:val="24"/>
            <w:u w:val="single"/>
            <w:rtl w:val="0"/>
          </w:rPr>
          <w:t xml:space="preserve">https://www.comun.app/blog/transferencias-de-dinero-internacionales-comprendiendo-los-tipos-de-cambio-y-las-tarifas</w:t>
        </w:r>
      </w:hyperlink>
      <w:r w:rsidDel="00000000" w:rsidR="00000000" w:rsidRPr="00000000">
        <w:rPr>
          <w:rtl w:val="0"/>
        </w:rPr>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Costo de Enviar Dinero: Bank of America vs. Cripto - OneSafe Blog, fecha de acceso: marzo 2, 2026, </w:t>
      </w:r>
      <w:hyperlink r:id="rId15">
        <w:r w:rsidDel="00000000" w:rsidR="00000000" w:rsidRPr="00000000">
          <w:rPr>
            <w:rFonts w:ascii="Google Sans" w:cs="Google Sans" w:eastAsia="Google Sans" w:hAnsi="Google Sans"/>
            <w:color w:val="0000ee"/>
            <w:sz w:val="24"/>
            <w:szCs w:val="24"/>
            <w:u w:val="single"/>
            <w:rtl w:val="0"/>
          </w:rPr>
          <w:t xml:space="preserve">https://www.onesafe.io/es/blog/banco-de-america-tasas-de-transferencia-vs-costos-cripto</w:t>
        </w:r>
      </w:hyperlink>
      <w:r w:rsidDel="00000000" w:rsidR="00000000" w:rsidRPr="00000000">
        <w:rPr>
          <w:rtl w:val="0"/>
        </w:rPr>
      </w:r>
    </w:p>
    <w:p w:rsidR="00000000" w:rsidDel="00000000" w:rsidP="00000000" w:rsidRDefault="00000000" w:rsidRPr="00000000" w14:paraId="0000005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Comparar Costos de Transferencias Internacionales: Guía Final - Finhabits, fecha de acceso: marzo 2, 2026, </w:t>
      </w:r>
      <w:hyperlink r:id="rId16">
        <w:r w:rsidDel="00000000" w:rsidR="00000000" w:rsidRPr="00000000">
          <w:rPr>
            <w:rFonts w:ascii="Google Sans" w:cs="Google Sans" w:eastAsia="Google Sans" w:hAnsi="Google Sans"/>
            <w:color w:val="0000ee"/>
            <w:sz w:val="24"/>
            <w:szCs w:val="24"/>
            <w:u w:val="single"/>
            <w:rtl w:val="0"/>
          </w:rPr>
          <w:t xml:space="preserve">https://www.finhabits.com/es/guia-final-comparar-costos-transferencias-internacionales/</w:t>
        </w:r>
      </w:hyperlink>
      <w:r w:rsidDel="00000000" w:rsidR="00000000" w:rsidRPr="00000000">
        <w:rPr>
          <w:rtl w:val="0"/>
        </w:rPr>
      </w:r>
    </w:p>
    <w:p w:rsidR="00000000" w:rsidDel="00000000" w:rsidP="00000000" w:rsidRDefault="00000000" w:rsidRPr="00000000" w14:paraId="0000005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 49, March 2024 - Remittance Prices Worldwide - World Bank, fecha de acceso: marzo 2, 2026, </w:t>
      </w:r>
      <w:hyperlink r:id="rId17">
        <w:r w:rsidDel="00000000" w:rsidR="00000000" w:rsidRPr="00000000">
          <w:rPr>
            <w:rFonts w:ascii="Google Sans" w:cs="Google Sans" w:eastAsia="Google Sans" w:hAnsi="Google Sans"/>
            <w:color w:val="0000ee"/>
            <w:sz w:val="24"/>
            <w:szCs w:val="24"/>
            <w:u w:val="single"/>
            <w:rtl w:val="0"/>
          </w:rPr>
          <w:t xml:space="preserve">https://remittanceprices.worldbank.org/sites/default/files/rpw_main_report_and_annex_q424_13.pdf</w:t>
        </w:r>
      </w:hyperlink>
      <w:r w:rsidDel="00000000" w:rsidR="00000000" w:rsidRPr="00000000">
        <w:rPr>
          <w:rtl w:val="0"/>
        </w:rPr>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Remittance Prices Worldwide - Issue 49, March 2024 - World Bank, fecha de acceso: marzo 2, 2026, </w:t>
      </w:r>
      <w:hyperlink r:id="rId18">
        <w:r w:rsidDel="00000000" w:rsidR="00000000" w:rsidRPr="00000000">
          <w:rPr>
            <w:rFonts w:ascii="Google Sans" w:cs="Google Sans" w:eastAsia="Google Sans" w:hAnsi="Google Sans"/>
            <w:color w:val="0000ee"/>
            <w:sz w:val="24"/>
            <w:szCs w:val="24"/>
            <w:u w:val="single"/>
            <w:rtl w:val="0"/>
          </w:rPr>
          <w:t xml:space="preserve">https://remittanceprices.worldbank.org/sites/default/files/rpw_main_report_and_annex_q125_1_0.pdf</w:t>
        </w:r>
      </w:hyperlink>
      <w:r w:rsidDel="00000000" w:rsidR="00000000" w:rsidRPr="00000000">
        <w:rPr>
          <w:rtl w:val="0"/>
        </w:rPr>
      </w:r>
    </w:p>
    <w:p w:rsidR="00000000" w:rsidDel="00000000" w:rsidP="00000000" w:rsidRDefault="00000000" w:rsidRPr="00000000" w14:paraId="0000005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 49, March 2024 - Remittance Prices Worldwide - World Bank, fecha de acceso: marzo 2, 2026, </w:t>
      </w:r>
      <w:hyperlink r:id="rId19">
        <w:r w:rsidDel="00000000" w:rsidR="00000000" w:rsidRPr="00000000">
          <w:rPr>
            <w:rFonts w:ascii="Google Sans" w:cs="Google Sans" w:eastAsia="Google Sans" w:hAnsi="Google Sans"/>
            <w:color w:val="0000ee"/>
            <w:sz w:val="24"/>
            <w:szCs w:val="24"/>
            <w:u w:val="single"/>
            <w:rtl w:val="0"/>
          </w:rPr>
          <w:t xml:space="preserve">https://remittanceprices.worldbank.org/sites/default/files/rpw_main_report_and_annex_q224.pdf</w:t>
        </w:r>
      </w:hyperlink>
      <w:r w:rsidDel="00000000" w:rsidR="00000000" w:rsidRPr="00000000">
        <w:rPr>
          <w:rtl w:val="0"/>
        </w:rPr>
      </w:r>
    </w:p>
    <w:p w:rsidR="00000000" w:rsidDel="00000000" w:rsidP="00000000" w:rsidRDefault="00000000" w:rsidRPr="00000000" w14:paraId="0000005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The Dawn of Solana's Institutional Era | by ScalingX - Medium, fecha de acceso: marzo 2, 2026, </w:t>
      </w:r>
      <w:hyperlink r:id="rId20">
        <w:r w:rsidDel="00000000" w:rsidR="00000000" w:rsidRPr="00000000">
          <w:rPr>
            <w:rFonts w:ascii="Google Sans" w:cs="Google Sans" w:eastAsia="Google Sans" w:hAnsi="Google Sans"/>
            <w:color w:val="0000ee"/>
            <w:sz w:val="24"/>
            <w:szCs w:val="24"/>
            <w:u w:val="single"/>
            <w:rtl w:val="0"/>
          </w:rPr>
          <w:t xml:space="preserve">https://medium.com/@scalingx/2025-the-dawn-of-solanas-institutional-era-cda664cf8482</w:t>
        </w:r>
      </w:hyperlink>
      <w:r w:rsidDel="00000000" w:rsidR="00000000" w:rsidRPr="00000000">
        <w:rPr>
          <w:rtl w:val="0"/>
        </w:rPr>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Solana (SOL) Explained: Fastest Blockchain or Risky Bet? - LBank, fecha de acceso: marzo 2, 2026, </w:t>
      </w:r>
      <w:hyperlink r:id="rId21">
        <w:r w:rsidDel="00000000" w:rsidR="00000000" w:rsidRPr="00000000">
          <w:rPr>
            <w:rFonts w:ascii="Google Sans" w:cs="Google Sans" w:eastAsia="Google Sans" w:hAnsi="Google Sans"/>
            <w:color w:val="0000ee"/>
            <w:sz w:val="24"/>
            <w:szCs w:val="24"/>
            <w:u w:val="single"/>
            <w:rtl w:val="0"/>
          </w:rPr>
          <w:t xml:space="preserve">https://www.lbank.com/explore/solana-sol-explained-fastest-blockchain-or-risky-bet</w:t>
        </w:r>
      </w:hyperlink>
      <w:r w:rsidDel="00000000" w:rsidR="00000000" w:rsidRPr="00000000">
        <w:rPr>
          <w:rtl w:val="0"/>
        </w:rPr>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Solana in 2025: Ecosystem Maturity, Institutional Momentum, and the Path to Global Scale, fecha de acceso: marzo 2, 2026, </w:t>
      </w:r>
      <w:hyperlink r:id="rId22">
        <w:r w:rsidDel="00000000" w:rsidR="00000000" w:rsidRPr="00000000">
          <w:rPr>
            <w:rFonts w:ascii="Google Sans" w:cs="Google Sans" w:eastAsia="Google Sans" w:hAnsi="Google Sans"/>
            <w:color w:val="0000ee"/>
            <w:sz w:val="24"/>
            <w:szCs w:val="24"/>
            <w:u w:val="single"/>
            <w:rtl w:val="0"/>
          </w:rPr>
          <w:t xml:space="preserve">https://genfinity.io/2025/12/09/solana-blockchain-overview/</w:t>
        </w:r>
      </w:hyperlink>
      <w:r w:rsidDel="00000000" w:rsidR="00000000" w:rsidRPr="00000000">
        <w:rPr>
          <w:rtl w:val="0"/>
        </w:rPr>
      </w:r>
    </w:p>
    <w:p w:rsidR="00000000" w:rsidDel="00000000" w:rsidP="00000000" w:rsidRDefault="00000000" w:rsidRPr="00000000" w14:paraId="0000005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of Customer Acquisition Costs: Traditional Banks vs ..., fecha de acceso: marzo 2, 2026, </w:t>
      </w:r>
      <w:hyperlink r:id="rId23">
        <w:r w:rsidDel="00000000" w:rsidR="00000000" w:rsidRPr="00000000">
          <w:rPr>
            <w:rFonts w:ascii="Google Sans" w:cs="Google Sans" w:eastAsia="Google Sans" w:hAnsi="Google Sans"/>
            <w:color w:val="0000ee"/>
            <w:sz w:val="24"/>
            <w:szCs w:val="24"/>
            <w:u w:val="single"/>
            <w:rtl w:val="0"/>
          </w:rPr>
          <w:t xml:space="preserve">https://youyaa.com/evolution-of-customer-acquisition-costs-traditional-banks-vs-neobanks-in-2024/</w:t>
        </w:r>
      </w:hyperlink>
      <w:r w:rsidDel="00000000" w:rsidR="00000000" w:rsidRPr="00000000">
        <w:rPr>
          <w:rtl w:val="0"/>
        </w:rPr>
      </w:r>
    </w:p>
    <w:p w:rsidR="00000000" w:rsidDel="00000000" w:rsidP="00000000" w:rsidRDefault="00000000" w:rsidRPr="00000000" w14:paraId="0000005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CAC: Metrics to Evaluate in 2024 - Visora, fecha de acceso: marzo 2, 2026, </w:t>
      </w:r>
      <w:hyperlink r:id="rId24">
        <w:r w:rsidDel="00000000" w:rsidR="00000000" w:rsidRPr="00000000">
          <w:rPr>
            <w:rFonts w:ascii="Google Sans" w:cs="Google Sans" w:eastAsia="Google Sans" w:hAnsi="Google Sans"/>
            <w:color w:val="0000ee"/>
            <w:sz w:val="24"/>
            <w:szCs w:val="24"/>
            <w:u w:val="single"/>
            <w:rtl w:val="0"/>
          </w:rPr>
          <w:t xml:space="preserve">https://www.visora.co/blogs/fintech-cac-metrics-to-evaluate-in-2024</w:t>
        </w:r>
      </w:hyperlink>
      <w:r w:rsidDel="00000000" w:rsidR="00000000" w:rsidRPr="00000000">
        <w:rPr>
          <w:rtl w:val="0"/>
        </w:rPr>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Gamification in Banking: Bonuses for Payments, Savings, and Learning. Case Studies 2025., fecha de acceso: marzo 2, 2026, </w:t>
      </w:r>
      <w:hyperlink r:id="rId25">
        <w:r w:rsidDel="00000000" w:rsidR="00000000" w:rsidRPr="00000000">
          <w:rPr>
            <w:rFonts w:ascii="Google Sans" w:cs="Google Sans" w:eastAsia="Google Sans" w:hAnsi="Google Sans"/>
            <w:color w:val="0000ee"/>
            <w:sz w:val="24"/>
            <w:szCs w:val="24"/>
            <w:u w:val="single"/>
            <w:rtl w:val="0"/>
          </w:rPr>
          <w:t xml:space="preserve">https://medium.com/@dumouchelantonin/gamification-in-banking-bonuses-for-payments-savings-and-learning-case-studies-2025-edf5c9e19b26</w:t>
        </w:r>
      </w:hyperlink>
      <w:r w:rsidDel="00000000" w:rsidR="00000000" w:rsidRPr="00000000">
        <w:rPr>
          <w:rtl w:val="0"/>
        </w:rPr>
      </w:r>
    </w:p>
    <w:p w:rsidR="00000000" w:rsidDel="00000000" w:rsidP="00000000" w:rsidRDefault="00000000" w:rsidRPr="00000000" w14:paraId="0000005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Slow Banking - Gamification Examples - StriveCloud, fecha de acceso: marzo 2, 2026, </w:t>
      </w:r>
      <w:hyperlink r:id="rId26">
        <w:r w:rsidDel="00000000" w:rsidR="00000000" w:rsidRPr="00000000">
          <w:rPr>
            <w:rFonts w:ascii="Google Sans" w:cs="Google Sans" w:eastAsia="Google Sans" w:hAnsi="Google Sans"/>
            <w:color w:val="0000ee"/>
            <w:sz w:val="24"/>
            <w:szCs w:val="24"/>
            <w:u w:val="single"/>
            <w:rtl w:val="0"/>
          </w:rPr>
          <w:t xml:space="preserve">https://strivecloud.io/blog/customer-motivation-slow-banking</w:t>
        </w:r>
      </w:hyperlink>
      <w:r w:rsidDel="00000000" w:rsidR="00000000" w:rsidRPr="00000000">
        <w:rPr>
          <w:rtl w:val="0"/>
        </w:rPr>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$16-30 Trillion by 2030: Unlocking the RWA Opportunity - Mintlayer, fecha de acceso: marzo 2, 2026, </w:t>
      </w:r>
      <w:hyperlink r:id="rId27">
        <w:r w:rsidDel="00000000" w:rsidR="00000000" w:rsidRPr="00000000">
          <w:rPr>
            <w:rFonts w:ascii="Google Sans" w:cs="Google Sans" w:eastAsia="Google Sans" w:hAnsi="Google Sans"/>
            <w:color w:val="0000ee"/>
            <w:sz w:val="24"/>
            <w:szCs w:val="24"/>
            <w:u w:val="single"/>
            <w:rtl w:val="0"/>
          </w:rPr>
          <w:t xml:space="preserve">https://www.mintlayer.org/blogs/16-30-trillion-by-2030-unlocking-the-rwa-opportunity</w:t>
        </w:r>
      </w:hyperlink>
      <w:r w:rsidDel="00000000" w:rsidR="00000000" w:rsidRPr="00000000">
        <w:rPr>
          <w:rtl w:val="0"/>
        </w:rPr>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Explosive Growth of Tokenized Real-World Assets in 2025 - Raze, fecha de acceso: marzo 2, 2026, </w:t>
      </w:r>
      <w:hyperlink r:id="rId28">
        <w:r w:rsidDel="00000000" w:rsidR="00000000" w:rsidRPr="00000000">
          <w:rPr>
            <w:rFonts w:ascii="Google Sans" w:cs="Google Sans" w:eastAsia="Google Sans" w:hAnsi="Google Sans"/>
            <w:color w:val="0000ee"/>
            <w:sz w:val="24"/>
            <w:szCs w:val="24"/>
            <w:u w:val="single"/>
            <w:rtl w:val="0"/>
          </w:rPr>
          <w:t xml:space="preserve">https://www.raze.finance/blogs/the-explosive-growth-of-tokenized-real-world-assets-in-2025</w:t>
        </w:r>
      </w:hyperlink>
      <w:r w:rsidDel="00000000" w:rsidR="00000000" w:rsidRPr="00000000">
        <w:rPr>
          <w:rtl w:val="0"/>
        </w:rPr>
      </w:r>
    </w:p>
    <w:p w:rsidR="00000000" w:rsidDel="00000000" w:rsidP="00000000" w:rsidRDefault="00000000" w:rsidRPr="00000000" w14:paraId="0000005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Tokenization of Real-World Assets: The $16 Trillion Opportunity | Matwal, fecha de acceso: marzo 2, 2026, </w:t>
      </w:r>
      <w:hyperlink r:id="rId29">
        <w:r w:rsidDel="00000000" w:rsidR="00000000" w:rsidRPr="00000000">
          <w:rPr>
            <w:rFonts w:ascii="Google Sans" w:cs="Google Sans" w:eastAsia="Google Sans" w:hAnsi="Google Sans"/>
            <w:color w:val="0000ee"/>
            <w:sz w:val="24"/>
            <w:szCs w:val="24"/>
            <w:u w:val="single"/>
            <w:rtl w:val="0"/>
          </w:rPr>
          <w:t xml:space="preserve">https://matwal.com/financial-updates-and-reports/tokenization-real-world-assets-2025</w:t>
        </w:r>
      </w:hyperlink>
      <w:r w:rsidDel="00000000" w:rsidR="00000000" w:rsidRPr="00000000">
        <w:rPr>
          <w:rtl w:val="0"/>
        </w:rPr>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Real-World Asset Tokenization Market Recap 2025 - InvestaX, fecha de acceso: marzo 2, 2026, </w:t>
      </w:r>
      <w:hyperlink r:id="rId30">
        <w:r w:rsidDel="00000000" w:rsidR="00000000" w:rsidRPr="00000000">
          <w:rPr>
            <w:rFonts w:ascii="Google Sans" w:cs="Google Sans" w:eastAsia="Google Sans" w:hAnsi="Google Sans"/>
            <w:color w:val="0000ee"/>
            <w:sz w:val="24"/>
            <w:szCs w:val="24"/>
            <w:u w:val="single"/>
            <w:rtl w:val="0"/>
          </w:rPr>
          <w:t xml:space="preserve">https://investax.io/blog/real-world-asset-tokenization-market-recap-2025</w:t>
        </w:r>
      </w:hyperlink>
      <w:r w:rsidDel="00000000" w:rsidR="00000000" w:rsidRPr="00000000">
        <w:rPr>
          <w:rtl w:val="0"/>
        </w:rPr>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Solana drives 2025 real-world crypto adoption gains | Deriv Blog, fecha de acceso: marzo 2, 2026, </w:t>
      </w:r>
      <w:hyperlink r:id="rId31">
        <w:r w:rsidDel="00000000" w:rsidR="00000000" w:rsidRPr="00000000">
          <w:rPr>
            <w:rFonts w:ascii="Google Sans" w:cs="Google Sans" w:eastAsia="Google Sans" w:hAnsi="Google Sans"/>
            <w:color w:val="0000ee"/>
            <w:sz w:val="24"/>
            <w:szCs w:val="24"/>
            <w:u w:val="single"/>
            <w:rtl w:val="0"/>
          </w:rPr>
          <w:t xml:space="preserve">https://deriv.com/blog/posts/solana-2025-real-world-adoption-analysis</w:t>
        </w:r>
      </w:hyperlink>
      <w:r w:rsidDel="00000000" w:rsidR="00000000" w:rsidRPr="00000000">
        <w:rPr>
          <w:rtl w:val="0"/>
        </w:rPr>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Solana — a blockchain built to blossom, fecha de acceso: marzo 2, 2026, </w:t>
      </w:r>
      <w:hyperlink r:id="rId32">
        <w:r w:rsidDel="00000000" w:rsidR="00000000" w:rsidRPr="00000000">
          <w:rPr>
            <w:rFonts w:ascii="Google Sans" w:cs="Google Sans" w:eastAsia="Google Sans" w:hAnsi="Google Sans"/>
            <w:color w:val="0000ee"/>
            <w:sz w:val="24"/>
            <w:szCs w:val="24"/>
            <w:u w:val="single"/>
            <w:rtl w:val="0"/>
          </w:rPr>
          <w:t xml:space="preserve">https://ml-eu.globenewswire.com/Resource/Download/1bfa365b-fc2d-4ed4-8a14-684bb314ea0b</w:t>
        </w:r>
      </w:hyperlink>
      <w:r w:rsidDel="00000000" w:rsidR="00000000" w:rsidRPr="00000000">
        <w:rPr>
          <w:rtl w:val="0"/>
        </w:rPr>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LATAM Crypto Regulation Report - Coinchange.io, fecha de acceso: marzo 2, 2026, </w:t>
      </w:r>
      <w:hyperlink r:id="rId33">
        <w:r w:rsidDel="00000000" w:rsidR="00000000" w:rsidRPr="00000000">
          <w:rPr>
            <w:rFonts w:ascii="Google Sans" w:cs="Google Sans" w:eastAsia="Google Sans" w:hAnsi="Google Sans"/>
            <w:color w:val="0000ee"/>
            <w:sz w:val="24"/>
            <w:szCs w:val="24"/>
            <w:u w:val="single"/>
            <w:rtl w:val="0"/>
          </w:rPr>
          <w:t xml:space="preserve">https://www.coinchange.io/blog/2025-latam-crypto-regulation-report</w:t>
        </w:r>
      </w:hyperlink>
      <w:r w:rsidDel="00000000" w:rsidR="00000000" w:rsidRPr="00000000">
        <w:rPr>
          <w:rtl w:val="0"/>
        </w:rPr>
      </w:r>
    </w:p>
    <w:p w:rsidR="00000000" w:rsidDel="00000000" w:rsidP="00000000" w:rsidRDefault="00000000" w:rsidRPr="00000000" w14:paraId="0000006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Crypto Policy Review Outlook 2025/26 Report - TRM Labs, fecha de acceso: marzo 2, 2026, </w:t>
      </w:r>
      <w:hyperlink r:id="rId34">
        <w:r w:rsidDel="00000000" w:rsidR="00000000" w:rsidRPr="00000000">
          <w:rPr>
            <w:rFonts w:ascii="Google Sans" w:cs="Google Sans" w:eastAsia="Google Sans" w:hAnsi="Google Sans"/>
            <w:color w:val="0000ee"/>
            <w:sz w:val="24"/>
            <w:szCs w:val="24"/>
            <w:u w:val="single"/>
            <w:rtl w:val="0"/>
          </w:rPr>
          <w:t xml:space="preserve">https://www.trmlabs.com/reports-and-whitepapers/global-crypto-policy-review-outlook-2025-26</w:t>
        </w:r>
      </w:hyperlink>
      <w:r w:rsidDel="00000000" w:rsidR="00000000" w:rsidRPr="00000000">
        <w:rPr>
          <w:rtl w:val="0"/>
        </w:rPr>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Latin America Fintech Investment Trends 2025 - Phoenix Strategy Group, fecha de acceso: marzo 2, 2026, </w:t>
      </w:r>
      <w:hyperlink r:id="rId35">
        <w:r w:rsidDel="00000000" w:rsidR="00000000" w:rsidRPr="00000000">
          <w:rPr>
            <w:rFonts w:ascii="Google Sans" w:cs="Google Sans" w:eastAsia="Google Sans" w:hAnsi="Google Sans"/>
            <w:color w:val="0000ee"/>
            <w:sz w:val="24"/>
            <w:szCs w:val="24"/>
            <w:u w:val="single"/>
            <w:rtl w:val="0"/>
          </w:rPr>
          <w:t xml:space="preserve">https://www.phoenixstrategy.group/blog/latin-america-fintech-investment-trends-2025</w:t>
        </w:r>
      </w:hyperlink>
      <w:r w:rsidDel="00000000" w:rsidR="00000000" w:rsidRPr="00000000">
        <w:rPr>
          <w:rtl w:val="0"/>
        </w:rPr>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42 Platform (42) Launch Guide — From Alkimiya to Culture-Driven ..., fecha de acceso: marzo 2, 2026, </w:t>
      </w:r>
      <w:hyperlink r:id="rId36">
        <w:r w:rsidDel="00000000" w:rsidR="00000000" w:rsidRPr="00000000">
          <w:rPr>
            <w:rFonts w:ascii="Google Sans" w:cs="Google Sans" w:eastAsia="Google Sans" w:hAnsi="Google Sans"/>
            <w:color w:val="0000ee"/>
            <w:sz w:val="24"/>
            <w:szCs w:val="24"/>
            <w:u w:val="single"/>
            <w:rtl w:val="0"/>
          </w:rPr>
          <w:t xml:space="preserve">https://www.gate.com/tr/crypto-wiki/article/42-platform-42-launch-guide-from-alkimiya-to-culture-driven-markets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medium.com/@scalingx/2025-the-dawn-of-solanas-institutional-era-cda664cf8482" TargetMode="External"/><Relationship Id="rId22" Type="http://schemas.openxmlformats.org/officeDocument/2006/relationships/hyperlink" Target="https://genfinity.io/2025/12/09/solana-blockchain-overview/" TargetMode="External"/><Relationship Id="rId21" Type="http://schemas.openxmlformats.org/officeDocument/2006/relationships/hyperlink" Target="https://www.lbank.com/explore/solana-sol-explained-fastest-blockchain-or-risky-bet" TargetMode="External"/><Relationship Id="rId24" Type="http://schemas.openxmlformats.org/officeDocument/2006/relationships/hyperlink" Target="https://www.visora.co/blogs/fintech-cac-metrics-to-evaluate-in-2024" TargetMode="External"/><Relationship Id="rId23" Type="http://schemas.openxmlformats.org/officeDocument/2006/relationships/hyperlink" Target="https://youyaa.com/evolution-of-customer-acquisition-costs-traditional-banks-vs-neobanks-in-20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egi.org.mx/contenidos/saladeprensa/boletines/2025/enif/ENIF2024_RR.pdf" TargetMode="External"/><Relationship Id="rId26" Type="http://schemas.openxmlformats.org/officeDocument/2006/relationships/hyperlink" Target="https://strivecloud.io/blog/customer-motivation-slow-banking" TargetMode="External"/><Relationship Id="rId25" Type="http://schemas.openxmlformats.org/officeDocument/2006/relationships/hyperlink" Target="https://medium.com/@dumouchelantonin/gamification-in-banking-bonuses-for-payments-savings-and-learning-case-studies-2025-edf5c9e19b26" TargetMode="External"/><Relationship Id="rId28" Type="http://schemas.openxmlformats.org/officeDocument/2006/relationships/hyperlink" Target="https://www.raze.finance/blogs/the-explosive-growth-of-tokenized-real-world-assets-in-2025" TargetMode="External"/><Relationship Id="rId27" Type="http://schemas.openxmlformats.org/officeDocument/2006/relationships/hyperlink" Target="https://www.mintlayer.org/blogs/16-30-trillion-by-2030-unlocking-the-rwa-opportunity"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matwal.com/financial-updates-and-reports/tokenization-real-world-assets-2025" TargetMode="External"/><Relationship Id="rId7" Type="http://schemas.openxmlformats.org/officeDocument/2006/relationships/hyperlink" Target="https://www.bancadelasoportunidades.gov.co/sites/default/files/2025-05/BDO_RIF%202024_29052025.pdf" TargetMode="External"/><Relationship Id="rId8" Type="http://schemas.openxmlformats.org/officeDocument/2006/relationships/hyperlink" Target="https://www.bancadelasoportunidades.gov.co/sites/default/files/2025-05/BDO_RIF%202024_COMPLETO%201.pdf" TargetMode="External"/><Relationship Id="rId31" Type="http://schemas.openxmlformats.org/officeDocument/2006/relationships/hyperlink" Target="https://deriv.com/blog/posts/solana-2025-real-world-adoption-analysis" TargetMode="External"/><Relationship Id="rId30" Type="http://schemas.openxmlformats.org/officeDocument/2006/relationships/hyperlink" Target="https://investax.io/blog/real-world-asset-tokenization-market-recap-2025" TargetMode="External"/><Relationship Id="rId11" Type="http://schemas.openxmlformats.org/officeDocument/2006/relationships/hyperlink" Target="https://scholarworks.uark.edu/cgi/viewcontent.cgi?article=1155&amp;context=finnuht" TargetMode="External"/><Relationship Id="rId33" Type="http://schemas.openxmlformats.org/officeDocument/2006/relationships/hyperlink" Target="https://www.coinchange.io/blog/2025-latam-crypto-regulation-report" TargetMode="External"/><Relationship Id="rId10" Type="http://schemas.openxmlformats.org/officeDocument/2006/relationships/hyperlink" Target="https://www.philadelphiafed.org/consumer-finance/how-americans-use-social-media-for-financial-advice" TargetMode="External"/><Relationship Id="rId32" Type="http://schemas.openxmlformats.org/officeDocument/2006/relationships/hyperlink" Target="https://ml-eu.globenewswire.com/Resource/Download/1bfa365b-fc2d-4ed4-8a14-684bb314ea0b" TargetMode="External"/><Relationship Id="rId13" Type="http://schemas.openxmlformats.org/officeDocument/2006/relationships/hyperlink" Target="https://consumidor.ftc.gov/alertas-para-consumidores/2025/03/las-principales-estafas-de-2024" TargetMode="External"/><Relationship Id="rId35" Type="http://schemas.openxmlformats.org/officeDocument/2006/relationships/hyperlink" Target="https://www.phoenixstrategy.group/blog/latin-america-fintech-investment-trends-2025" TargetMode="External"/><Relationship Id="rId12" Type="http://schemas.openxmlformats.org/officeDocument/2006/relationships/hyperlink" Target="https://www.philadelphiafed.org/-/media/FRBP/Assets/Consumer-Finance/Reports/how-americans-use-social-media-for-financial-advice.pdf" TargetMode="External"/><Relationship Id="rId34" Type="http://schemas.openxmlformats.org/officeDocument/2006/relationships/hyperlink" Target="https://www.trmlabs.com/reports-and-whitepapers/global-crypto-policy-review-outlook-2025-26" TargetMode="External"/><Relationship Id="rId15" Type="http://schemas.openxmlformats.org/officeDocument/2006/relationships/hyperlink" Target="https://www.onesafe.io/es/blog/banco-de-america-tasas-de-transferencia-vs-costos-cripto" TargetMode="External"/><Relationship Id="rId14" Type="http://schemas.openxmlformats.org/officeDocument/2006/relationships/hyperlink" Target="https://www.comun.app/blog/transferencias-de-dinero-internacionales-comprendiendo-los-tipos-de-cambio-y-las-tarifas" TargetMode="External"/><Relationship Id="rId36" Type="http://schemas.openxmlformats.org/officeDocument/2006/relationships/hyperlink" Target="https://www.gate.com/tr/crypto-wiki/article/42-platform-42-launch-guide-from-alkimiya-to-culture-driven-markets" TargetMode="External"/><Relationship Id="rId17" Type="http://schemas.openxmlformats.org/officeDocument/2006/relationships/hyperlink" Target="https://remittanceprices.worldbank.org/sites/default/files/rpw_main_report_and_annex_q424_13.pdf" TargetMode="External"/><Relationship Id="rId16" Type="http://schemas.openxmlformats.org/officeDocument/2006/relationships/hyperlink" Target="https://www.finhabits.com/es/guia-final-comparar-costos-transferencias-internacionales/" TargetMode="External"/><Relationship Id="rId19" Type="http://schemas.openxmlformats.org/officeDocument/2006/relationships/hyperlink" Target="https://remittanceprices.worldbank.org/sites/default/files/rpw_main_report_and_annex_q224.pdf" TargetMode="External"/><Relationship Id="rId18" Type="http://schemas.openxmlformats.org/officeDocument/2006/relationships/hyperlink" Target="https://remittanceprices.worldbank.org/sites/default/files/rpw_main_report_and_annex_q125_1_0.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