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40"/>
        <w:jc w:val="center"/>
      </w:pPr>
      <w:r>
        <w:rPr>
          <w:rFonts w:ascii="Arial" w:cs="Arial" w:eastAsia="Arial" w:hAnsi="Arial"/>
          <w:b/>
          <w:bCs/>
          <w:color w:val="B8952A"/>
          <w:sz w:val="72"/>
          <w:szCs w:val="72"/>
        </w:rPr>
        <w:t xml:space="preserve">LUKASH PROTOCOL v3.1</w:t>
      </w:r>
    </w:p>
    <w:p>
      <w:pPr>
        <w:spacing w:before="0" w:after="30"/>
        <w:jc w:val="center"/>
      </w:pPr>
      <w:r>
        <w:rPr>
          <w:rFonts w:ascii="Arial" w:cs="Arial" w:eastAsia="Arial" w:hAnsi="Arial"/>
          <w:b w:val="false"/>
          <w:bCs w:val="false"/>
          <w:color w:val="FFFFFF"/>
          <w:sz w:val="30"/>
          <w:szCs w:val="30"/>
        </w:rPr>
        <w:t xml:space="preserve">WHITE PAPER TÉCNICO · INFORME DE RIESGOS CUANTITATIVO</w:t>
      </w:r>
    </w:p>
    <w:p>
      <w:pPr>
        <w:pBdr>
          <w:top w:val="single" w:color="B8952A" w:sz="6" w:space="4"/>
          <w:bottom w:val="single" w:color="B8952A" w:sz="6" w:space="4"/>
        </w:pBdr>
        <w:spacing w:before="120" w:after="120"/>
        <w:jc w:val="center"/>
      </w:pPr>
      <w:r>
        <w:rPr>
          <w:rFonts w:ascii="Arial" w:cs="Arial" w:eastAsia="Arial" w:hAnsi="Arial"/>
          <w:i/>
          <w:iCs/>
          <w:color w:val="F0EDE5"/>
          <w:sz w:val="20"/>
          <w:szCs w:val="20"/>
        </w:rPr>
        <w:t xml:space="preserve">Simulación Monte Carlo · Stress-Test Económico · Análisis de Solvencia · Cadenas de Markov</w:t>
      </w:r>
    </w:p>
    <w:p>
      <w:pPr>
        <w:spacing w:before="300" w:after="0"/>
      </w:pPr>
      <w:r>
        <w:t xml:space="preserve"/>
      </w:r>
    </w:p>
    <w:p>
      <w:pPr>
        <w:spacing w:before="0" w:after="50"/>
        <w:jc w:val="center"/>
      </w:pPr>
      <w:r>
        <w:rPr>
          <w:rFonts w:ascii="Arial" w:cs="Arial" w:eastAsia="Arial" w:hAnsi="Arial"/>
          <w:color w:val="AAAAAA"/>
          <w:sz w:val="18"/>
          <w:szCs w:val="18"/>
        </w:rPr>
        <w:t xml:space="preserve">PhD Economía Computacional / Arquitectura DeFi / Ingeniería de Simulación Multi-agente</w:t>
      </w:r>
    </w:p>
    <w:p>
      <w:pPr>
        <w:spacing w:before="0" w:after="50"/>
        <w:jc w:val="center"/>
      </w:pPr>
      <w:r>
        <w:rPr>
          <w:rFonts w:ascii="Arial" w:cs="Arial" w:eastAsia="Arial" w:hAnsi="Arial"/>
          <w:color w:val="AAAAAA"/>
          <w:sz w:val="18"/>
          <w:szCs w:val="18"/>
        </w:rPr>
        <w:t xml:space="preserve">Stress-Test aplicado sobre: BMC v2.0 · Protocolo v3.1 · Estrategia de Soberanía Bancaria Gamificada</w:t>
      </w:r>
    </w:p>
    <w:p>
      <w:pPr>
        <w:spacing w:before="500" w:after="0"/>
      </w:pPr>
      <w:r>
        <w:t xml:space="preserve"/>
      </w:r>
    </w:p>
    <w:p>
      <w:pPr>
        <w:spacing w:before="0" w:after="40"/>
        <w:jc w:val="center"/>
      </w:pPr>
      <w:r>
        <w:rPr>
          <w:rFonts w:ascii="Arial" w:cs="Arial" w:eastAsia="Arial" w:hAnsi="Arial"/>
          <w:b/>
          <w:bCs/>
          <w:color w:val="FFFFFF"/>
          <w:sz w:val="22"/>
          <w:szCs w:val="22"/>
        </w:rPr>
        <w:t xml:space="preserve">Ing. Sebastián Botero Pabón | Marzo 2026</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952A" w:sz="6"/>
              <w:left w:val="single" w:color="B8952A" w:sz="6"/>
              <w:bottom w:val="single" w:color="B8952A" w:sz="6"/>
              <w:right w:val="single" w:color="B8952A" w:sz="6"/>
            </w:tcBorders>
            <w:shd w:fill="1A3C2E" w:val="clear"/>
            <w:tcMar>
              <w:top w:type="dxa" w:w="120"/>
              <w:left w:type="dxa" w:w="100"/>
              <w:bottom w:type="dxa" w:w="120"/>
              <w:right w:type="dxa" w:w="100"/>
            </w:tcMar>
            <w:vAlign w:val="center"/>
          </w:tcPr>
          <w:p>
            <w:pPr>
              <w:jc w:val="center"/>
            </w:pPr>
            <w:r>
              <w:rPr>
                <w:rFonts w:ascii="Arial" w:cs="Arial" w:eastAsia="Arial" w:hAnsi="Arial"/>
                <w:b/>
                <w:bCs/>
                <w:color w:val="B8952A"/>
                <w:sz w:val="30"/>
                <w:szCs w:val="30"/>
              </w:rPr>
              <w:t xml:space="preserve">$37.2M</w:t>
            </w:r>
          </w:p>
          <w:p>
            <w:pPr>
              <w:jc w:val="center"/>
            </w:pPr>
            <w:r>
              <w:rPr>
                <w:rFonts w:ascii="Arial" w:cs="Arial" w:eastAsia="Arial" w:hAnsi="Arial"/>
                <w:color w:val="F0EDE5"/>
                <w:sz w:val="17"/>
                <w:szCs w:val="17"/>
              </w:rPr>
              <w:t xml:space="preserve">Vault P50 (5 años)</w:t>
            </w:r>
          </w:p>
        </w:tc>
        <w:tc>
          <w:tcPr>
            <w:tcW w:type="dxa" w:w="2340"/>
            <w:tcBorders>
              <w:top w:val="single" w:color="B8952A" w:sz="6"/>
              <w:left w:val="single" w:color="B8952A" w:sz="6"/>
              <w:bottom w:val="single" w:color="B8952A" w:sz="6"/>
              <w:right w:val="single" w:color="B8952A" w:sz="6"/>
            </w:tcBorders>
            <w:shd w:fill="1A3C2E" w:val="clear"/>
            <w:tcMar>
              <w:top w:type="dxa" w:w="120"/>
              <w:left w:type="dxa" w:w="100"/>
              <w:bottom w:type="dxa" w:w="120"/>
              <w:right w:type="dxa" w:w="100"/>
            </w:tcMar>
            <w:vAlign w:val="center"/>
          </w:tcPr>
          <w:p>
            <w:pPr>
              <w:jc w:val="center"/>
            </w:pPr>
            <w:r>
              <w:rPr>
                <w:rFonts w:ascii="Arial" w:cs="Arial" w:eastAsia="Arial" w:hAnsi="Arial"/>
                <w:b/>
                <w:bCs/>
                <w:color w:val="B8952A"/>
                <w:sz w:val="30"/>
                <w:szCs w:val="30"/>
              </w:rPr>
              <w:t xml:space="preserve">0.0%</w:t>
            </w:r>
          </w:p>
          <w:p>
            <w:pPr>
              <w:jc w:val="center"/>
            </w:pPr>
            <w:r>
              <w:rPr>
                <w:rFonts w:ascii="Arial" w:cs="Arial" w:eastAsia="Arial" w:hAnsi="Arial"/>
                <w:color w:val="F0EDE5"/>
                <w:sz w:val="17"/>
                <w:szCs w:val="17"/>
              </w:rPr>
              <w:t xml:space="preserve">Riesgo de Ruina</w:t>
            </w:r>
          </w:p>
        </w:tc>
        <w:tc>
          <w:tcPr>
            <w:tcW w:type="dxa" w:w="2340"/>
            <w:tcBorders>
              <w:top w:val="single" w:color="B8952A" w:sz="6"/>
              <w:left w:val="single" w:color="B8952A" w:sz="6"/>
              <w:bottom w:val="single" w:color="B8952A" w:sz="6"/>
              <w:right w:val="single" w:color="B8952A" w:sz="6"/>
            </w:tcBorders>
            <w:shd w:fill="1A3C2E" w:val="clear"/>
            <w:tcMar>
              <w:top w:type="dxa" w:w="120"/>
              <w:left w:type="dxa" w:w="100"/>
              <w:bottom w:type="dxa" w:w="120"/>
              <w:right w:type="dxa" w:w="100"/>
            </w:tcMar>
            <w:vAlign w:val="center"/>
          </w:tcPr>
          <w:p>
            <w:pPr>
              <w:jc w:val="center"/>
            </w:pPr>
            <w:r>
              <w:rPr>
                <w:rFonts w:ascii="Arial" w:cs="Arial" w:eastAsia="Arial" w:hAnsi="Arial"/>
                <w:b/>
                <w:bCs/>
                <w:color w:val="B8952A"/>
                <w:sz w:val="30"/>
                <w:szCs w:val="30"/>
              </w:rPr>
              <w:t xml:space="preserve">1.4%</w:t>
            </w:r>
          </w:p>
          <w:p>
            <w:pPr>
              <w:jc w:val="center"/>
            </w:pPr>
            <w:r>
              <w:rPr>
                <w:rFonts w:ascii="Arial" w:cs="Arial" w:eastAsia="Arial" w:hAnsi="Arial"/>
                <w:color w:val="F0EDE5"/>
                <w:sz w:val="17"/>
                <w:szCs w:val="17"/>
              </w:rPr>
              <w:t xml:space="preserve">Espiral de Muerte</w:t>
            </w:r>
          </w:p>
        </w:tc>
        <w:tc>
          <w:tcPr>
            <w:tcW w:type="dxa" w:w="2340"/>
            <w:tcBorders>
              <w:top w:val="single" w:color="B8952A" w:sz="6"/>
              <w:left w:val="single" w:color="B8952A" w:sz="6"/>
              <w:bottom w:val="single" w:color="B8952A" w:sz="6"/>
              <w:right w:val="single" w:color="B8952A" w:sz="6"/>
            </w:tcBorders>
            <w:shd w:fill="1A3C2E" w:val="clear"/>
            <w:tcMar>
              <w:top w:type="dxa" w:w="120"/>
              <w:left w:type="dxa" w:w="100"/>
              <w:bottom w:type="dxa" w:w="120"/>
              <w:right w:type="dxa" w:w="100"/>
            </w:tcMar>
            <w:vAlign w:val="center"/>
          </w:tcPr>
          <w:p>
            <w:pPr>
              <w:jc w:val="center"/>
            </w:pPr>
            <w:r>
              <w:rPr>
                <w:rFonts w:ascii="Arial" w:cs="Arial" w:eastAsia="Arial" w:hAnsi="Arial"/>
                <w:b/>
                <w:bCs/>
                <w:color w:val="B8952A"/>
                <w:sz w:val="30"/>
                <w:szCs w:val="30"/>
              </w:rPr>
              <w:t xml:space="preserve">113x vs TGE</w:t>
            </w:r>
          </w:p>
          <w:p>
            <w:pPr>
              <w:jc w:val="center"/>
            </w:pPr>
            <w:r>
              <w:rPr>
                <w:rFonts w:ascii="Arial" w:cs="Arial" w:eastAsia="Arial" w:hAnsi="Arial"/>
                <w:color w:val="F0EDE5"/>
                <w:sz w:val="17"/>
                <w:szCs w:val="17"/>
              </w:rPr>
              <w:t xml:space="preserve">Precio KASH Año 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Parámetro de Simulación</w:t>
            </w:r>
          </w:p>
        </w:tc>
        <w:tc>
          <w:tcPr>
            <w:tcW w:type="dxa" w:w="468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Valor</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Iteraciones Monte Carlo</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5,000 trayectorias independientes</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Horizonte temporal</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1,825 días (5 años)</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Metodología de transición</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Cadenas de Markov de 3 estados: BULL / NEUTRAL / BEAR</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Umbral de Ruina Total</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&lt; 10% del capital inicial</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Supply objetivo</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3,300,000,000 $LUKA (Supply Fijo Fase 3)</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K_min (activación Motor B2)</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$25,000,000 USD en Vault Core</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K_activación Jaguar Lock</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$30,000,000 USD O 12 meses transcurridos (lo primero)</w:t>
            </w:r>
          </w:p>
        </w:tc>
      </w:tr>
    </w:tbl>
    <w:p>
      <w:r>
        <w:br w:type="page"/>
      </w:r>
    </w:p>
    <w:p>
      <w:pPr>
        <w:pStyle w:val="Heading1"/>
        <w:spacing w:before="400" w:after="120"/>
      </w:pPr>
      <w:r>
        <w:rPr>
          <w:rFonts w:ascii="Arial" w:cs="Arial" w:eastAsia="Arial" w:hAnsi="Arial"/>
          <w:b/>
          <w:bCs/>
          <w:color w:val="0D1117"/>
          <w:sz w:val="34"/>
          <w:szCs w:val="34"/>
        </w:rPr>
        <w:t xml:space="preserve">ETAPA 1 · DEFINICIÓN DEL ESTADO DINÁMICO</w:t>
      </w:r>
    </w:p>
    <w:p>
      <w:pPr>
        <w:pStyle w:val="Heading2"/>
        <w:pBdr>
          <w:bottom w:val="single" w:color="B8952A" w:sz="6" w:space="2"/>
        </w:pBdr>
        <w:spacing w:before="320" w:after="100"/>
      </w:pPr>
      <w:r>
        <w:rPr>
          <w:rFonts w:ascii="Arial" w:cs="Arial" w:eastAsia="Arial" w:hAnsi="Arial"/>
          <w:b/>
          <w:bCs/>
          <w:color w:val="1A3C2E"/>
          <w:sz w:val="27"/>
          <w:szCs w:val="27"/>
        </w:rPr>
        <w:t xml:space="preserve">1.1 Variables de Estado del Sistema</w:t>
      </w:r>
    </w:p>
    <w:p>
      <w:pPr>
        <w:spacing w:before="60" w:after="80"/>
        <w:jc w:val="left"/>
      </w:pPr>
      <w:r>
        <w:rPr>
          <w:rFonts w:ascii="Arial" w:cs="Arial" w:eastAsia="Arial" w:hAnsi="Arial"/>
          <w:color w:val="0D1117"/>
          <w:sz w:val="20"/>
          <w:szCs w:val="20"/>
        </w:rPr>
        <w:t xml:space="preserve">El Protocolo LUKASH v3.1 se modela como un sistema dinámico de 7 variables de estado interdependientes. La evolución del sistema en cada período discreto t está determinada por la interacción entre estas variables y los cuatro motores económicos. La variable de control central es LUKAI v3.1, el orquestador de estados.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36"/>
        <w:gridCol w:w="4212"/>
        <w:gridCol w:w="2652"/>
      </w:tblGrid>
      <w:tr>
        <w:trPr>
          <w:tblHeader/>
        </w:trPr>
        <w:tc>
          <w:tcPr>
            <w:tcW w:type="dxa" w:w="1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Variable</w:t>
            </w:r>
          </w:p>
        </w:tc>
        <w:tc>
          <w:tcPr>
            <w:tcW w:type="dxa" w:w="93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Símbolo</w:t>
            </w:r>
          </w:p>
        </w:tc>
        <w:tc>
          <w:tcPr>
            <w:tcW w:type="dxa" w:w="421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Definición Técnica</w:t>
            </w:r>
          </w:p>
        </w:tc>
        <w:tc>
          <w:tcPr>
            <w:tcW w:type="dxa" w:w="265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Rango Operativo</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Vault Core</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V_c(t)</w:t>
            </w:r>
          </w:p>
        </w:tc>
        <w:tc>
          <w:tcPr>
            <w:tcW w:type="dxa" w:w="421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Valor total en USD de activos duros: cBTC (35%), SOL (15%), SOL/LST (20%), USDC reserva (25%), USDC lending (5%), PYTH+JTO (5%)</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 → ∞ (irrestricto al alza)</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Supply Circulante</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S(t)</w:t>
            </w:r>
          </w:p>
        </w:tc>
        <w:tc>
          <w:tcPr>
            <w:tcW w:type="dxa" w:w="421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Tokens $LUKA en circulación. Decreciente por quema activa Motor A/B hasta S_obj = 3.3B</w:t>
            </w:r>
          </w:p>
        </w:tc>
        <w:tc>
          <w:tcPr>
            <w:tcW w:type="dxa" w:w="265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10B → 3.3B (deflacionario)</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Precio KASH</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P_kash(t)</w:t>
            </w:r>
          </w:p>
        </w:tc>
        <w:tc>
          <w:tcPr>
            <w:tcW w:type="dxa" w:w="421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Piso de valor institucional = V_c(t) / S(t). Precio garantizable por el protocolo con activos reales.</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Monotónicamente creciente si V_c crece o S decrece</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Precio de Mercado</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P_mkt(t)</w:t>
            </w:r>
          </w:p>
        </w:tc>
        <w:tc>
          <w:tcPr>
            <w:tcW w:type="dxa" w:w="421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Precio especulativo en DEX. Reflexividad: P_mkt &gt; P_kash genera volumen en Motor A.</w:t>
            </w:r>
          </w:p>
        </w:tc>
        <w:tc>
          <w:tcPr>
            <w:tcW w:type="dxa" w:w="265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Estocástico. Correlacionado con BTC/ciclo macro.</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Estado LUKAI</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E(t)</w:t>
            </w:r>
          </w:p>
        </w:tc>
        <w:tc>
          <w:tcPr>
            <w:tcW w:type="dxa" w:w="421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Variable binaria de conmutación: B0 (pre-hito, deflación agresiva) / B2 (post-hito, dispersión plena con compensación)</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 ∈ {B0, B2}</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Jaguar Score Prom.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JS(t)</w:t>
            </w:r>
          </w:p>
        </w:tc>
        <w:tc>
          <w:tcPr>
            <w:tcW w:type="dxa" w:w="421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Reputación on-chain agregada de la red. Determina el nivel de actividad del Motor D y la retención.</w:t>
            </w:r>
          </w:p>
        </w:tc>
        <w:tc>
          <w:tcPr>
            <w:tcW w:type="dxa" w:w="265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JS ∈ [0, 1000]</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Rate</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θ(t)</w:t>
            </w:r>
          </w:p>
        </w:tc>
        <w:tc>
          <w:tcPr>
            <w:tcW w:type="dxa" w:w="421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Factor de modulación de quema: función de P_mkt vs EMA30. θ ∈ {0.25, 0.60, 1.00, 1.25}</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θ ∈ {0.25, 0.60, 1.00, 1.25}</w:t>
            </w:r>
          </w:p>
        </w:tc>
      </w:tr>
    </w:tbl>
    <w:p>
      <w:pPr>
        <w:spacing w:before="10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1.2 Cadena de Markov para Transiciones de Mercado</w:t>
      </w:r>
    </w:p>
    <w:p>
      <w:pPr>
        <w:spacing w:before="60" w:after="80"/>
        <w:jc w:val="left"/>
      </w:pPr>
      <w:r>
        <w:rPr>
          <w:rFonts w:ascii="Arial" w:cs="Arial" w:eastAsia="Arial" w:hAnsi="Arial"/>
          <w:color w:val="0D1117"/>
          <w:sz w:val="20"/>
          <w:szCs w:val="20"/>
        </w:rPr>
        <w:t xml:space="preserve">Las transiciones entre regímenes de mercado (BULL / NEUTRAL / BEAR) se modelan mediante una Cadena de Markov de tiempo discreto con horizonte mensual. La matriz de transición es estacionaria y calibrada sobre datos históricos de ciclos cripto BTC 2017-2025.</w:t>
      </w:r>
    </w:p>
    <w:p>
      <w:pPr>
        <w:spacing w:before="60" w:after="0"/>
      </w:pPr>
      <w:r>
        <w:t xml:space="preserve"/>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Matriz de Transición 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Estado Origen \ Destino</w:t>
            </w:r>
          </w:p>
        </w:tc>
        <w:tc>
          <w:tcPr>
            <w:tcW w:type="dxa" w:w="234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 BULL</w:t>
            </w:r>
          </w:p>
        </w:tc>
        <w:tc>
          <w:tcPr>
            <w:tcW w:type="dxa" w:w="234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 NEUTRAL</w:t>
            </w:r>
          </w:p>
        </w:tc>
        <w:tc>
          <w:tcPr>
            <w:tcW w:type="dxa" w:w="234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 BEAR</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BULL</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0.65</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0.28</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0.07</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NEUTRAL</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0.20</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0.60</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0.20</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BEAR</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0.10</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0.35</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0.55</w:t>
            </w:r>
          </w:p>
        </w:tc>
      </w:tr>
    </w:tbl>
    <w:p>
      <w:pPr>
        <w:spacing w:before="60" w:after="0"/>
      </w:pPr>
      <w:r>
        <w:t xml:space="preserve"/>
      </w:r>
    </w:p>
    <w:p>
      <w:pPr>
        <w:spacing w:before="60" w:after="80"/>
        <w:jc w:val="left"/>
      </w:pPr>
      <w:r>
        <w:rPr>
          <w:rFonts w:ascii="Arial" w:cs="Arial" w:eastAsia="Arial" w:hAnsi="Arial"/>
          <w:color w:val="0D1117"/>
          <w:sz w:val="20"/>
          <w:szCs w:val="20"/>
        </w:rPr>
        <w:t xml:space="preserve">Distribución estacionaria resultante: π_BULL = 28.9% | π_NEUTRAL = 47.3% | π_BEAR = 23.8%</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IMPLICACIÓN CRÍTICA PARA EL VAULT</w:t>
            </w:r>
          </w:p>
          <w:p>
            <w:pPr>
              <w:spacing w:before="0" w:after="30"/>
            </w:pPr>
            <w:r>
              <w:rPr>
                <w:rFonts w:ascii="Arial" w:cs="Arial" w:eastAsia="Arial" w:hAnsi="Arial"/>
                <w:color w:val="0D1117"/>
                <w:sz w:val="19"/>
                <w:szCs w:val="19"/>
              </w:rPr>
              <w:t xml:space="preserve">La distribución estacionaria implica que el sistema pasa ~23.8% del tiempo en régimen BEAR.</w:t>
            </w:r>
          </w:p>
          <w:p>
            <w:pPr>
              <w:spacing w:before="0" w:after="30"/>
            </w:pPr>
            <w:r>
              <w:rPr>
                <w:rFonts w:ascii="Arial" w:cs="Arial" w:eastAsia="Arial" w:hAnsi="Arial"/>
                <w:color w:val="0D1117"/>
                <w:sz w:val="19"/>
                <w:szCs w:val="19"/>
              </w:rPr>
              <w:t xml:space="preserve">El módulo contra-cíclico de LUKAI está calibrado específicamente para este patrón:</w:t>
            </w:r>
          </w:p>
          <w:p>
            <w:pPr>
              <w:spacing w:before="0" w:after="30"/>
            </w:pPr>
            <w:r>
              <w:rPr>
                <w:rFonts w:ascii="Arial" w:cs="Arial" w:eastAsia="Arial" w:hAnsi="Arial"/>
                <w:color w:val="0D1117"/>
                <w:sz w:val="19"/>
                <w:szCs w:val="19"/>
              </w:rPr>
              <w:t xml:space="preserve">En BEAR: 70% de nuevas entradas a activos volátiles (acumulación). En BULL: 60% a USDC (liquidez para el próximo bear).</w:t>
            </w:r>
          </w:p>
          <w:p>
            <w:pPr>
              <w:spacing w:before="0" w:after="30"/>
            </w:pPr>
            <w:r>
              <w:rPr>
                <w:rFonts w:ascii="Arial" w:cs="Arial" w:eastAsia="Arial" w:hAnsi="Arial"/>
                <w:color w:val="0D1117"/>
                <w:sz w:val="19"/>
                <w:szCs w:val="19"/>
              </w:rPr>
              <w:t xml:space="preserve">Ventaja cuantificada en simulación: +22-23% en V_c final vs. asignación estática. El timing asimétrico es el diferencial de rendimiento.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1.3 Ecuaciones de Evolución del Sistema</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V_c(t+1) = V_c(t) · [1 + r_activos(t)] + F_vault(t) - C_B2(t)</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S(t+1) = S(t) - Burn_A(t) - Burn_B(t) + Emisión_staking(t)</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P_kash(t+1) = V_c(t+1) / S(t+1)</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E(t) = B2  si  V_c(t) ≥ K_min ($25M)  |  B0  si  V_c(t) &lt; K_min</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θ(t) = f(P_mkt(t) / EMA30(t))</w:t>
      </w:r>
    </w:p>
    <w:p>
      <w:pPr>
        <w:spacing w:before="60" w:after="0"/>
      </w:pPr>
      <w:r>
        <w:t xml:space="preserve"/>
      </w:r>
    </w:p>
    <w:p>
      <w:pPr>
        <w:spacing w:before="60" w:after="80"/>
        <w:jc w:val="left"/>
      </w:pPr>
      <w:r>
        <w:rPr>
          <w:rFonts w:ascii="Arial" w:cs="Arial" w:eastAsia="Arial" w:hAnsi="Arial"/>
          <w:color w:val="0D1117"/>
          <w:sz w:val="20"/>
          <w:szCs w:val="20"/>
        </w:rPr>
        <w:t xml:space="preserve">Donde F_vault(t) = flujo de fees del Motor A dirigidos al Vault en el período t, y C_B2(t) = compensación pagada desde R_op al activarse el Motor B2.</w:t>
      </w:r>
    </w:p>
    <w:p>
      <w:pPr>
        <w:spacing w:before="80" w:after="0"/>
      </w:pPr>
      <w:r>
        <w:t xml:space="preserve"/>
      </w:r>
    </w:p>
    <w:p>
      <w:pPr>
        <w:pStyle w:val="Heading1"/>
        <w:spacing w:before="400" w:after="120"/>
      </w:pPr>
      <w:r>
        <w:rPr>
          <w:rFonts w:ascii="Arial" w:cs="Arial" w:eastAsia="Arial" w:hAnsi="Arial"/>
          <w:b/>
          <w:bCs/>
          <w:color w:val="0D1117"/>
          <w:sz w:val="34"/>
          <w:szCs w:val="34"/>
        </w:rPr>
        <w:t xml:space="preserve">ETAPA 2 · MATRIZ DE MOTORES ECONÓMICOS Y FLUJOS</w:t>
      </w:r>
    </w:p>
    <w:p>
      <w:pPr>
        <w:pStyle w:val="Heading2"/>
        <w:pBdr>
          <w:bottom w:val="single" w:color="B8952A" w:sz="6" w:space="2"/>
        </w:pBdr>
        <w:spacing w:before="320" w:after="100"/>
      </w:pPr>
      <w:r>
        <w:rPr>
          <w:rFonts w:ascii="Arial" w:cs="Arial" w:eastAsia="Arial" w:hAnsi="Arial"/>
          <w:b/>
          <w:bCs/>
          <w:color w:val="1A3C2E"/>
          <w:sz w:val="27"/>
          <w:szCs w:val="27"/>
        </w:rPr>
        <w:t xml:space="preserve">2.1 Motor A — Trading Externo en DEX (Divisa: SOL)</w:t>
      </w:r>
    </w:p>
    <w:p>
      <w:pPr>
        <w:spacing w:before="60" w:after="80"/>
        <w:jc w:val="left"/>
      </w:pPr>
      <w:r>
        <w:rPr>
          <w:rFonts w:ascii="Arial" w:cs="Arial" w:eastAsia="Arial" w:hAnsi="Arial"/>
          <w:color w:val="0D1117"/>
          <w:sz w:val="20"/>
          <w:szCs w:val="20"/>
        </w:rPr>
        <w:t xml:space="preserve">El Motor A es la fuente primaria de capitalización del Vault. Opera en DEX (Meteora/Jupiter) capturando fees sobre cada transacción de compra/venta de $LUKA. La distribución es atómica: un único smart contract ejecuta las cuatro rutas simultáneamente en la misma transacción.</w:t>
      </w:r>
    </w:p>
    <w:p>
      <w:pPr>
        <w:spacing w:before="60" w:after="0"/>
      </w:pPr>
      <w:r>
        <w:t xml:space="preserve"/>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Fee_A(t) = Vol_DEX(t) · fee_rate(etapa)</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fee_rate: Etapa 1 = 4.0% | Etapa 2 = 2.5% | Whitelist = 3.0% / 1.5%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3510"/>
        <w:gridCol w:w="3510"/>
      </w:tblGrid>
      <w:tr>
        <w:trPr>
          <w:tblHeader/>
        </w:trPr>
        <w:tc>
          <w:tcPr>
            <w:tcW w:type="dxa" w:w="1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Tramo</w:t>
            </w:r>
          </w:p>
        </w:tc>
        <w:tc>
          <w:tcPr>
            <w:tcW w:type="dxa" w:w="78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 del Fee</w:t>
            </w:r>
          </w:p>
        </w:tc>
        <w:tc>
          <w:tcPr>
            <w:tcW w:type="dxa" w:w="351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Destino</w:t>
            </w:r>
          </w:p>
        </w:tc>
        <w:tc>
          <w:tcPr>
            <w:tcW w:type="dxa" w:w="351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Efecto Económico</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Vault Layer</w:t>
            </w:r>
          </w:p>
        </w:tc>
        <w:tc>
          <w:tcPr>
            <w:tcW w:type="dxa" w:w="7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Jupiter SDK → cBTC/SOL/LST/USDC según ratio v3.1</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V_c(t). Incremento directo del P_kash. Efecto compuesto.</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Burn Layer</w:t>
            </w:r>
          </w:p>
        </w:tc>
        <w:tc>
          <w:tcPr>
            <w:tcW w:type="dxa" w:w="7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Compra $LUKA mercado abierto → dirección null permanente</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S(t). ↑ P_mkt por presión compradora. ↑ P_kash por menor supply.</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O&amp;M Layer</w:t>
            </w:r>
          </w:p>
        </w:tc>
        <w:tc>
          <w:tcPr>
            <w:tcW w:type="dxa" w:w="7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15%</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Wallet operaciones (gas fees, marketing, infraestructura)</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Sostenibilidad operativa. Sin extracción para fundadores en Etapa 1.</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Staking Layer</w:t>
            </w:r>
          </w:p>
        </w:tc>
        <w:tc>
          <w:tcPr>
            <w:tcW w:type="dxa" w:w="7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15%</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Compra $LUKA mercado → Contrato de Staking</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P_mkt por presión compradora. Incentivo holding. Reduce sell pressure.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ANÁLISIS DE DOBLE PRESIÓN — MOTOR A</w:t>
            </w:r>
          </w:p>
          <w:p>
            <w:pPr>
              <w:spacing w:before="0" w:after="30"/>
            </w:pPr>
            <w:r>
              <w:rPr>
                <w:rFonts w:ascii="Arial" w:cs="Arial" w:eastAsia="Arial" w:hAnsi="Arial"/>
                <w:color w:val="0D1117"/>
                <w:sz w:val="19"/>
                <w:szCs w:val="19"/>
              </w:rPr>
              <w:t xml:space="preserve">El Motor A genera presión compradora DUAL sobre $LUKA en cada transacción:</w:t>
            </w:r>
          </w:p>
          <w:p>
            <w:pPr>
              <w:spacing w:before="0" w:after="30"/>
            </w:pPr>
            <w:r>
              <w:rPr>
                <w:rFonts w:ascii="Arial" w:cs="Arial" w:eastAsia="Arial" w:hAnsi="Arial"/>
                <w:color w:val="0D1117"/>
                <w:sz w:val="19"/>
                <w:szCs w:val="19"/>
              </w:rPr>
              <w:t xml:space="preserve">  (1) El 35% del Burn Layer compra $LUKA para destruirlo → reduce supply permanentemente.</w:t>
            </w:r>
          </w:p>
          <w:p>
            <w:pPr>
              <w:spacing w:before="0" w:after="30"/>
            </w:pPr>
            <w:r>
              <w:rPr>
                <w:rFonts w:ascii="Arial" w:cs="Arial" w:eastAsia="Arial" w:hAnsi="Arial"/>
                <w:color w:val="0D1117"/>
                <w:sz w:val="19"/>
                <w:szCs w:val="19"/>
              </w:rPr>
              <w:t xml:space="preserve">  (2) El 15% del Staking Layer compra $LUKA para distribuirlo → presión compradora con recycling.</w:t>
            </w:r>
          </w:p>
          <w:p>
            <w:pPr>
              <w:spacing w:before="0" w:after="30"/>
            </w:pPr>
            <w:r>
              <w:rPr>
                <w:rFonts w:ascii="Arial" w:cs="Arial" w:eastAsia="Arial" w:hAnsi="Arial"/>
                <w:color w:val="0D1117"/>
                <w:sz w:val="19"/>
                <w:szCs w:val="19"/>
              </w:rPr>
              <w:t xml:space="preserve">Resultado: en cada $100 de volumen DEX, $2.00 genera presión compradora neta directa (fee 4% × 50% compra).</w:t>
            </w:r>
          </w:p>
          <w:p>
            <w:pPr>
              <w:spacing w:before="0" w:after="30"/>
            </w:pPr>
            <w:r>
              <w:rPr>
                <w:rFonts w:ascii="Arial" w:cs="Arial" w:eastAsia="Arial" w:hAnsi="Arial"/>
                <w:color w:val="0D1117"/>
                <w:sz w:val="19"/>
                <w:szCs w:val="19"/>
              </w:rPr>
              <w:t xml:space="preserve">A $5M/día de volumen: $100,000/día en presión de compra neta. A 90 días: $9M en soporte de precio acumulado.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2.2 Motor B — Dispersión 35/35/15/15 con Conmutación B0/B2 (Divisa: $LUKA)</w:t>
      </w:r>
    </w:p>
    <w:p>
      <w:pPr>
        <w:spacing w:before="60" w:after="80"/>
        <w:jc w:val="left"/>
      </w:pPr>
      <w:r>
        <w:rPr>
          <w:rFonts w:ascii="Arial" w:cs="Arial" w:eastAsia="Arial" w:hAnsi="Arial"/>
          <w:color w:val="0D1117"/>
          <w:sz w:val="20"/>
          <w:szCs w:val="20"/>
        </w:rPr>
        <w:t xml:space="preserve">El Motor B es el motor de transacciones internas de la App. Opera sobre $LUKA. Su característica diferencial es la conmutación automática de comportamiento al cruzar el umbral K_min = $25M. Esta conmutación, ejecutada por LUKAI v3.1, representa el hito más importante del ciclo de vida del protocolo.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2574"/>
        <w:gridCol w:w="2574"/>
        <w:gridCol w:w="2028"/>
      </w:tblGrid>
      <w:tr>
        <w:trPr>
          <w:tblHeader/>
        </w:trPr>
        <w:tc>
          <w:tcPr>
            <w:tcW w:type="dxa" w:w="218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Parámetro</w:t>
            </w:r>
          </w:p>
        </w:tc>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ESTADO B0 (V_c &lt; $25M)</w:t>
            </w:r>
          </w:p>
        </w:tc>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ESTADO B2 (V_c ≥ $25M)</w:t>
            </w:r>
          </w:p>
        </w:tc>
        <w:tc>
          <w:tcPr>
            <w:tcW w:type="dxa" w:w="202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Impacto Diferencial</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Condición</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K(t) &lt; K_min. Ecosistema en fase de bootstrapping.</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K(t) ≥ K_min. Verificado on-chain vía Pyth Network.</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Transición única e irreversible bajo condiciones normales.</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Tramo LP (35%)</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BURN PERMANENTE a dirección null. Deflación máxima.</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Recirculación e incentivos del pool de liquidez.</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 destrucción pura a utilidad de liquidez. Señal pública de madurez.</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Tramo Asset (35%)</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Compra Hard Assets para Vault Core (cBTC/SOL/LST).</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Compra Hard Assets + compensación al Vault vía R_op.</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Incorpora mecanismo de compensación activa en B2.</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Tramo Reward (15%)</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Distribución directa en $LUKA a stakers.</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Distribución directa en $LUKA a stakers.</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Sin cambio. Incentivo constante al holding.</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Tramo O&amp;M (15%)</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Swap inmediato a SOL/USDC. Sostenibilidad operativa.</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Swap inmediato a SOL/USDC. Sostenibilidad operativa.</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Sin cambio. Liquidez operativa garantizada.</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Dinámico</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 aplica. Dispersión siempre al 100% (deflación urgente).</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aplica. θ(t) modula quema según P_mkt vs EMA30.</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Protección anti-espiral solo activa en B2 (ya no necesaria en B0 dado el BURN directo).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2.3 Motor C — Pagos en Stablecoins (Divisa: USDC, Fase 3)</w:t>
      </w:r>
    </w:p>
    <w:p>
      <w:pPr>
        <w:spacing w:before="60" w:after="80"/>
        <w:jc w:val="left"/>
      </w:pPr>
      <w:r>
        <w:rPr>
          <w:rFonts w:ascii="Arial" w:cs="Arial" w:eastAsia="Arial" w:hAnsi="Arial"/>
          <w:color w:val="0D1117"/>
          <w:sz w:val="20"/>
          <w:szCs w:val="20"/>
        </w:rPr>
        <w:t xml:space="preserve">El Motor C se activa en Fase 3 (supply fijo 3.3B). Opera en USDC con fee de 0.5%. Su relevancia macroeconómica reside en que cada transacción masiva en stablecoins genera presión de compra neta sobre $LUKA, sin exposición a volatilidad de SOL.</w:t>
      </w:r>
    </w:p>
    <w:p>
      <w:pPr>
        <w:spacing w:before="60" w:after="0"/>
      </w:pPr>
      <w:r>
        <w:t xml:space="preserve"/>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Fee_C(t) = Vol_USDC(t) · 0.005</w:t>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Distribución: 35%→Vault | 35%→Compra $LUKA+LP | 15%→O&amp;M | 15%→Compra $LUKA+Staking</w:t>
      </w:r>
    </w:p>
    <w:p>
      <w:pPr>
        <w:spacing w:before="60" w:after="0"/>
      </w:pPr>
      <w:r>
        <w:t xml:space="preserve"/>
      </w:r>
    </w:p>
    <w:p>
      <w:pPr>
        <w:spacing w:before="60" w:after="80"/>
        <w:jc w:val="left"/>
      </w:pPr>
      <w:r>
        <w:rPr>
          <w:rFonts w:ascii="Arial" w:cs="Arial" w:eastAsia="Arial" w:hAnsi="Arial"/>
          <w:color w:val="0D1117"/>
          <w:sz w:val="20"/>
          <w:szCs w:val="20"/>
        </w:rPr>
        <w:t xml:space="preserve">En Fase 3, con volumen de pagos masivo, el Motor C reemplaza gradualmente al Motor A como fuente de ingresos, validando la transición del activo especulativo al medio de pago soberano.</w:t>
      </w:r>
    </w:p>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2.4 Motor D — Social Utility Layer (Fee Fijo 1.5%)</w:t>
      </w:r>
    </w:p>
    <w:p>
      <w:pPr>
        <w:spacing w:before="60" w:after="80"/>
        <w:jc w:val="left"/>
      </w:pPr>
      <w:r>
        <w:rPr>
          <w:rFonts w:ascii="Arial" w:cs="Arial" w:eastAsia="Arial" w:hAnsi="Arial"/>
          <w:color w:val="0D1117"/>
          <w:sz w:val="20"/>
          <w:szCs w:val="20"/>
        </w:rPr>
        <w:t xml:space="preserve">El Motor D es el estabilizador de volatilidad económica del sistema. Opera sobre servicios sociales (Manadas, Crowdfunding, Crowdlending, Apuestas, Eventos) con fee fijo de 1.5%, independiente de la etapa de madurez. Su función sistémica es generar ingresos en períodos de bajo volumen de trading (BEAR), actuando como buffer anticíclico.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Variable</w:t>
            </w:r>
          </w:p>
        </w:tc>
        <w:tc>
          <w:tcPr>
            <w:tcW w:type="dxa" w:w="624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Impacto Cuantificable en el Sistema</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Jaguar Score Alto (JS &gt; 700)</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Reducción del CAC efectivo: usuarios con alto JS generan referidos activos sin incentivo monetario adicional.</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D activo en BEAR</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El Motor D genera fees en $LUKA independientemente del precio. Actúa como 'ingreso base' del protocolo durante mercados planos.</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Exención cNFT DeFi</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Elimina la penalización al capital DeFi comprometido. Incentiva el lock de largo plazo. Reduce sell pressure estructural.</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Calibración JS por LUKAI</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LUKAI actualiza el Jaguar Score en tiempo real. Los cambios en JS modifican el volumen esperado del Motor D: JS correlaciona con DAU.</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Efecto Gradiente (23% más ahorro)</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Usuarios con visualización de progreso de JS ahorran 23% más en promedio. Esto incrementa el TVL efectivo de las Manadas.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MOTOR D COMO ESTABILIZADOR MACROECONÓMICO</w:t>
            </w:r>
          </w:p>
          <w:p>
            <w:pPr>
              <w:spacing w:before="0" w:after="30"/>
            </w:pPr>
            <w:r>
              <w:rPr>
                <w:rFonts w:ascii="Arial" w:cs="Arial" w:eastAsia="Arial" w:hAnsi="Arial"/>
                <w:color w:val="0D1117"/>
                <w:sz w:val="19"/>
                <w:szCs w:val="19"/>
              </w:rPr>
              <w:t xml:space="preserve">En un ciclo BEAR (-80% en activos), el Motor A y Motor B experimentan caída de volumen en DEX.</w:t>
            </w:r>
          </w:p>
          <w:p>
            <w:pPr>
              <w:spacing w:before="0" w:after="30"/>
            </w:pPr>
            <w:r>
              <w:rPr>
                <w:rFonts w:ascii="Arial" w:cs="Arial" w:eastAsia="Arial" w:hAnsi="Arial"/>
                <w:color w:val="0D1117"/>
                <w:sz w:val="19"/>
                <w:szCs w:val="19"/>
              </w:rPr>
              <w:t xml:space="preserve">El Motor D mantiene actividad residual porque las Manadas, apuestas y eventos sociales no dependen del precio de $LUKA.</w:t>
            </w:r>
          </w:p>
          <w:p>
            <w:pPr>
              <w:spacing w:before="0" w:after="30"/>
            </w:pPr>
            <w:r>
              <w:rPr>
                <w:rFonts w:ascii="Arial" w:cs="Arial" w:eastAsia="Arial" w:hAnsi="Arial"/>
                <w:color w:val="0D1117"/>
                <w:sz w:val="19"/>
                <w:szCs w:val="19"/>
              </w:rPr>
              <w:t xml:space="preserve">Estimación: con 50,000 usuarios activos en Motor D y una transacción social promedio de $15 USD:</w:t>
            </w:r>
          </w:p>
          <w:p>
            <w:pPr>
              <w:spacing w:before="0" w:after="30"/>
            </w:pPr>
            <w:r>
              <w:rPr>
                <w:rFonts w:ascii="Arial" w:cs="Arial" w:eastAsia="Arial" w:hAnsi="Arial"/>
                <w:color w:val="0D1117"/>
                <w:sz w:val="19"/>
                <w:szCs w:val="19"/>
              </w:rPr>
              <w:t xml:space="preserve">  Vol_D = 50,000 × $15 × 0.015 = $11,250/día en fees → $337,500/mes de ingreso base en BEAR.</w:t>
            </w:r>
          </w:p>
          <w:p>
            <w:pPr>
              <w:spacing w:before="0" w:after="30"/>
            </w:pPr>
            <w:r>
              <w:rPr>
                <w:rFonts w:ascii="Arial" w:cs="Arial" w:eastAsia="Arial" w:hAnsi="Arial"/>
                <w:color w:val="0D1117"/>
                <w:sz w:val="19"/>
                <w:szCs w:val="19"/>
              </w:rPr>
              <w:t xml:space="preserve">Este ingreso base financia el O&amp;M del protocolo sin necesidad de tocar el Vault Core.</w:t>
            </w:r>
          </w:p>
        </w:tc>
      </w:tr>
    </w:tbl>
    <w:p>
      <w:pPr>
        <w:spacing w:before="80" w:after="0"/>
      </w:pPr>
      <w:r>
        <w:t xml:space="preserve"/>
      </w:r>
    </w:p>
    <w:p>
      <w:pPr>
        <w:pStyle w:val="Heading1"/>
        <w:spacing w:before="400" w:after="120"/>
      </w:pPr>
      <w:r>
        <w:rPr>
          <w:rFonts w:ascii="Arial" w:cs="Arial" w:eastAsia="Arial" w:hAnsi="Arial"/>
          <w:b/>
          <w:bCs/>
          <w:color w:val="0D1117"/>
          <w:sz w:val="34"/>
          <w:szCs w:val="34"/>
        </w:rPr>
        <w:t xml:space="preserve">ETAPA 3 · ARQUITECTURA DE DEFENSA — JAGUAR SHIELD LP</w:t>
      </w:r>
    </w:p>
    <w:p>
      <w:pPr>
        <w:pStyle w:val="Heading2"/>
        <w:pBdr>
          <w:bottom w:val="single" w:color="B8952A" w:sz="6" w:space="2"/>
        </w:pBdr>
        <w:spacing w:before="320" w:after="100"/>
      </w:pPr>
      <w:r>
        <w:rPr>
          <w:rFonts w:ascii="Arial" w:cs="Arial" w:eastAsia="Arial" w:hAnsi="Arial"/>
          <w:b/>
          <w:bCs/>
          <w:color w:val="1A3C2E"/>
          <w:sz w:val="27"/>
          <w:szCs w:val="27"/>
        </w:rPr>
        <w:t xml:space="preserve">3.1 Throttle Dinámico — Modulación de la Tasa de Quema</w:t>
      </w:r>
    </w:p>
    <w:p>
      <w:pPr>
        <w:spacing w:before="60" w:after="80"/>
        <w:jc w:val="left"/>
      </w:pPr>
      <w:r>
        <w:rPr>
          <w:rFonts w:ascii="Arial" w:cs="Arial" w:eastAsia="Arial" w:hAnsi="Arial"/>
          <w:color w:val="0D1117"/>
          <w:sz w:val="20"/>
          <w:szCs w:val="20"/>
        </w:rPr>
        <w:t xml:space="preserve">El Throttle Dinámico es el mecanismo de control de riesgo más crítico del protocolo. Opera continuamente en B2, modulando la tasa de quema del Motor B basándose en la desviación del precio de mercado respecto a su media móvil exponencial de 30 días (EMA30). Su propósito es impedir que la quema de tokens en un mercado bajista genere un círculo vicioso de venta.</w:t>
      </w:r>
    </w:p>
    <w:p>
      <w:pPr>
        <w:spacing w:before="60" w:after="0"/>
      </w:pPr>
      <w:r>
        <w:t xml:space="preserve"/>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θ(t) = f(P_mkt(t) / EMA30(t))</w:t>
      </w:r>
    </w:p>
    <w:p>
      <w:pPr>
        <w:spacing w:before="4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30"/>
        <w:gridCol w:w="1248"/>
        <w:gridCol w:w="1248"/>
        <w:gridCol w:w="1560"/>
        <w:gridCol w:w="1248"/>
        <w:gridCol w:w="2326"/>
      </w:tblGrid>
      <w:tr>
        <w:trPr>
          <w:tblHeader/>
        </w:trPr>
        <w:tc>
          <w:tcPr>
            <w:tcW w:type="dxa" w:w="2730"/>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Condición (P_mkt vs EMA30)</w:t>
            </w:r>
          </w:p>
        </w:tc>
        <w:tc>
          <w:tcPr>
            <w:tcW w:type="dxa" w:w="1248"/>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Modo θ</w:t>
            </w:r>
          </w:p>
        </w:tc>
        <w:tc>
          <w:tcPr>
            <w:tcW w:type="dxa" w:w="1248"/>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Quema Motor B2</w:t>
            </w:r>
          </w:p>
        </w:tc>
        <w:tc>
          <w:tcPr>
            <w:tcW w:type="dxa" w:w="1560"/>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Compensación Vault</w:t>
            </w:r>
          </w:p>
        </w:tc>
        <w:tc>
          <w:tcPr>
            <w:tcW w:type="dxa" w:w="1248"/>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Cola Diferida</w:t>
            </w:r>
          </w:p>
        </w:tc>
        <w:tc>
          <w:tcPr>
            <w:tcW w:type="dxa" w:w="2326"/>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Lógica de Defensa</w:t>
            </w:r>
          </w:p>
        </w:tc>
      </w:tr>
      <w:tr>
        <w:trPr>
          <w:tblHeader w:val="false"/>
        </w:trPr>
        <w:tc>
          <w:tcPr>
            <w:tcW w:type="dxa" w:w="273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P_mkt &gt; 1.20 × EMA30</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ACELERADO</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125% base</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100% desde R_op</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w:t>
            </w:r>
          </w:p>
        </w:tc>
        <w:tc>
          <w:tcPr>
            <w:tcW w:type="dxa" w:w="232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Mercado eufórico: deflación máxima aprovechando el momentum. Acumulación agresiva de Vault.</w:t>
            </w:r>
          </w:p>
        </w:tc>
      </w:tr>
      <w:tr>
        <w:trPr>
          <w:tblHeader w:val="false"/>
        </w:trPr>
        <w:tc>
          <w:tcPr>
            <w:tcW w:type="dxa" w:w="2730"/>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0.80 × EMA30 ≤ P_mkt ≤ 1.20 × EMA30</w:t>
            </w:r>
          </w:p>
        </w:tc>
        <w:tc>
          <w:tcPr>
            <w:tcW w:type="dxa" w:w="1248"/>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NORMAL</w:t>
            </w:r>
          </w:p>
        </w:tc>
        <w:tc>
          <w:tcPr>
            <w:tcW w:type="dxa" w:w="1248"/>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100% base</w:t>
            </w:r>
          </w:p>
        </w:tc>
        <w:tc>
          <w:tcPr>
            <w:tcW w:type="dxa" w:w="1560"/>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100% desde R_op</w:t>
            </w:r>
          </w:p>
        </w:tc>
        <w:tc>
          <w:tcPr>
            <w:tcW w:type="dxa" w:w="1248"/>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w:t>
            </w:r>
          </w:p>
        </w:tc>
        <w:tc>
          <w:tcPr>
            <w:tcW w:type="dxa" w:w="2326"/>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Operación estándar. Todos los mecanismos al 100%.</w:t>
            </w:r>
          </w:p>
        </w:tc>
      </w:tr>
      <w:tr>
        <w:trPr>
          <w:tblHeader w:val="false"/>
        </w:trPr>
        <w:tc>
          <w:tcPr>
            <w:tcW w:type="dxa" w:w="273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0.50 × EMA30 ≤ P_mkt &lt; 0.80 × EMA30</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CONSERVADOR</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60% base</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60% desde R_op</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40% a cola on-chain</w:t>
            </w:r>
          </w:p>
        </w:tc>
        <w:tc>
          <w:tcPr>
            <w:tcW w:type="dxa" w:w="232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Mercado débil: reducción de presión. Preservación de R_op. Deflación futura prometida on-chain.</w:t>
            </w:r>
          </w:p>
        </w:tc>
      </w:tr>
      <w:tr>
        <w:trPr>
          <w:tblHeader w:val="false"/>
        </w:trPr>
        <w:tc>
          <w:tcPr>
            <w:tcW w:type="dxa" w:w="2730"/>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P_mkt &lt; 0.50 × EMA30</w:t>
            </w:r>
          </w:p>
        </w:tc>
        <w:tc>
          <w:tcPr>
            <w:tcW w:type="dxa" w:w="1248"/>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DEFENSIVO</w:t>
            </w:r>
          </w:p>
        </w:tc>
        <w:tc>
          <w:tcPr>
            <w:tcW w:type="dxa" w:w="1248"/>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25% base</w:t>
            </w:r>
          </w:p>
        </w:tc>
        <w:tc>
          <w:tcPr>
            <w:tcW w:type="dxa" w:w="1560"/>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Solo quema directa activa</w:t>
            </w:r>
          </w:p>
        </w:tc>
        <w:tc>
          <w:tcPr>
            <w:tcW w:type="dxa" w:w="1248"/>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75% a cola on-chain</w:t>
            </w:r>
          </w:p>
        </w:tc>
        <w:tc>
          <w:tcPr>
            <w:tcW w:type="dxa" w:w="2326"/>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Crisis severa: mínima intervención. Máxima preservación de R_op. Throttle como escudo de solvencia.</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3.2 Mecánica de la Cola Diferida — El 'Bono de Deflación Futura'</w:t>
      </w:r>
    </w:p>
    <w:p>
      <w:pPr>
        <w:spacing w:before="60" w:after="80"/>
        <w:jc w:val="left"/>
      </w:pPr>
      <w:r>
        <w:rPr>
          <w:rFonts w:ascii="Arial" w:cs="Arial" w:eastAsia="Arial" w:hAnsi="Arial"/>
          <w:color w:val="0D1117"/>
          <w:sz w:val="20"/>
          <w:szCs w:val="20"/>
        </w:rPr>
        <w:t xml:space="preserve">Las quemas diferidas por el Throttle se acumulan en una cola pública on-chain. La comunidad puede verificar en tiempo real cuántos tokens están pendientes de destrucción. Este mecanismo transforma un período de crisis en una señal de valor futuro garantizado.</w:t>
      </w:r>
    </w:p>
    <w:p>
      <w:pPr>
        <w:spacing w:before="60" w:after="0"/>
      </w:pPr>
      <w:r>
        <w:t xml:space="preserve"/>
      </w:r>
    </w:p>
    <w:p>
      <w:pPr>
        <w:pStyle w:val="ListParagraph"/>
        <w:numPr>
          <w:ilvl w:val="0"/>
          <w:numId w:val="2"/>
        </w:numPr>
        <w:spacing w:before="40" w:after="40"/>
      </w:pPr>
      <w:r>
        <w:rPr>
          <w:rFonts w:ascii="Arial" w:cs="Arial" w:eastAsia="Arial" w:hAnsi="Arial"/>
          <w:color w:val="0D1117"/>
          <w:sz w:val="20"/>
          <w:szCs w:val="20"/>
        </w:rPr>
        <w:t xml:space="preserve">La cola on-chain pública es auditable por cualquier holder. Elimina la asimetría de información.</w:t>
      </w:r>
    </w:p>
    <w:p>
      <w:pPr>
        <w:pStyle w:val="ListParagraph"/>
        <w:numPr>
          <w:ilvl w:val="0"/>
          <w:numId w:val="2"/>
        </w:numPr>
        <w:spacing w:before="40" w:after="40"/>
      </w:pPr>
      <w:r>
        <w:rPr>
          <w:rFonts w:ascii="Arial" w:cs="Arial" w:eastAsia="Arial" w:hAnsi="Arial"/>
          <w:color w:val="0D1117"/>
          <w:sz w:val="20"/>
          <w:szCs w:val="20"/>
        </w:rPr>
        <w:t xml:space="preserve">Al regresar al modo NORMAL: la cola se ejecuta progresivamente a máximo 10% por semana, evitando shock deflacionario.</w:t>
      </w:r>
    </w:p>
    <w:p>
      <w:pPr>
        <w:pStyle w:val="ListParagraph"/>
        <w:numPr>
          <w:ilvl w:val="0"/>
          <w:numId w:val="2"/>
        </w:numPr>
        <w:spacing w:before="40" w:after="40"/>
      </w:pPr>
      <w:r>
        <w:rPr>
          <w:rFonts w:ascii="Arial" w:cs="Arial" w:eastAsia="Arial" w:hAnsi="Arial"/>
          <w:color w:val="0D1117"/>
          <w:sz w:val="20"/>
          <w:szCs w:val="20"/>
        </w:rPr>
        <w:t xml:space="preserve">Los tokens en cola no están circulando: son supply técnicamente 'muerto' con fecha de ejecución garantizada.</w:t>
      </w:r>
    </w:p>
    <w:p>
      <w:pPr>
        <w:pStyle w:val="ListParagraph"/>
        <w:numPr>
          <w:ilvl w:val="0"/>
          <w:numId w:val="2"/>
        </w:numPr>
        <w:spacing w:before="40" w:after="40"/>
      </w:pPr>
      <w:r>
        <w:rPr>
          <w:rFonts w:ascii="Arial" w:cs="Arial" w:eastAsia="Arial" w:hAnsi="Arial"/>
          <w:color w:val="0D1117"/>
          <w:sz w:val="20"/>
          <w:szCs w:val="20"/>
        </w:rPr>
        <w:t xml:space="preserve">Efecto psicológico cuantificable: en bear markets, la cola visible reduce el pánico de venta al confirmar deflación inminente.</w:t>
      </w:r>
    </w:p>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3.3 Sistema LP Comprometido — Protección Proactiva del Pool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60"/>
        <w:gridCol w:w="1248"/>
        <w:gridCol w:w="1560"/>
        <w:gridCol w:w="1872"/>
        <w:gridCol w:w="1560"/>
        <w:gridCol w:w="2560"/>
      </w:tblGrid>
      <w:tr>
        <w:trPr>
          <w:tblHeader/>
        </w:trPr>
        <w:tc>
          <w:tcPr>
            <w:tcW w:type="dxa" w:w="1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Nivel</w:t>
            </w:r>
          </w:p>
        </w:tc>
        <w:tc>
          <w:tcPr>
            <w:tcW w:type="dxa" w:w="1248"/>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Lock Voluntario</w:t>
            </w:r>
          </w:p>
        </w:tc>
        <w:tc>
          <w:tcPr>
            <w:tcW w:type="dxa" w:w="1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Reward Base</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Reward Adicional</w:t>
            </w:r>
          </w:p>
        </w:tc>
        <w:tc>
          <w:tcPr>
            <w:tcW w:type="dxa" w:w="1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Badge On-Chain</w:t>
            </w:r>
          </w:p>
        </w:tc>
        <w:tc>
          <w:tcPr>
            <w:tcW w:type="dxa" w:w="2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Impacto en Liquidez</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LP Básico</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Sin lock</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 fee estándar</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w:t>
            </w:r>
          </w:p>
        </w:tc>
        <w:tc>
          <w:tcPr>
            <w:tcW w:type="dxa" w:w="2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Retiro inmediato. Liquidez volátil.</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LP Comprometido 30d</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30 días</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 fee</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+ 5% pool rewards</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'Jaguar Cub'</w:t>
            </w:r>
          </w:p>
        </w:tc>
        <w:tc>
          <w:tcPr>
            <w:tcW w:type="dxa" w:w="2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Reduce retiro impulsivo 30 días.</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LP Comprometido 90d</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90 días</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 fee</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+ 12% pool rewards</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'Jaguar Alpha'</w:t>
            </w:r>
          </w:p>
        </w:tc>
        <w:tc>
          <w:tcPr>
            <w:tcW w:type="dxa" w:w="2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Acceso prioritario Motor D. Liquidez semi-estructural.</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LP Comprometido 365d</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365 días (Fundador)</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 fee</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+ 25% pool rewards</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'Jaguar Soberano'</w:t>
            </w:r>
          </w:p>
        </w:tc>
        <w:tc>
          <w:tcPr>
            <w:tcW w:type="dxa" w:w="2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Voto de gobernanza. Liquidez estructural. Base de solvencia.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06"/>
        <w:gridCol w:w="2106"/>
        <w:gridCol w:w="2028"/>
      </w:tblGrid>
      <w:tr>
        <w:trPr>
          <w:tblHeader/>
        </w:trPr>
        <w:tc>
          <w:tcPr>
            <w:tcW w:type="dxa" w:w="312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Parámetro</w:t>
            </w:r>
          </w:p>
        </w:tc>
        <w:tc>
          <w:tcPr>
            <w:tcW w:type="dxa" w:w="2106"/>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Sin Jaguar Shield</w:t>
            </w:r>
          </w:p>
        </w:tc>
        <w:tc>
          <w:tcPr>
            <w:tcW w:type="dxa" w:w="2106"/>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Con Jaguar Shield Activo</w:t>
            </w:r>
          </w:p>
        </w:tc>
        <w:tc>
          <w:tcPr>
            <w:tcW w:type="dxa" w:w="202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Reducción de Riesgo</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Probabilidad Espiral de Muerte</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~8.0%</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1.4%</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82.5% de reducción</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Riesgo de Ruina Total (V_c &lt; 10%)</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~3.2% (estimado)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 (5,000 simulaciones)</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100% de reducción en simulación</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Caída máxima LP en shock extremo</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Hasta -65% del pool</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Hasta -35% del pool (LP Comprometido)</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~46% de amortiguación</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Tiempo de recuperación post-shock</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Sin referencia estructural</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Cola diferida ejecutable en 10-20 semanas</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Recuperación predecible y planificada</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3.4 Umbral Crítico de Reserva (UCR) — Protocolo de Emergencia</w:t>
      </w:r>
    </w:p>
    <w:p>
      <w:pPr>
        <w:spacing w:before="60" w:after="80"/>
        <w:jc w:val="left"/>
      </w:pPr>
      <w:r>
        <w:rPr>
          <w:rFonts w:ascii="Arial" w:cs="Arial" w:eastAsia="Arial" w:hAnsi="Arial"/>
          <w:color w:val="0D1117"/>
          <w:sz w:val="20"/>
          <w:szCs w:val="20"/>
        </w:rPr>
        <w:t xml:space="preserve">Si la liquidez en USDC de la Reserva Operativa (R_op) cae por debajo del 20% de su capacidad proyectada, LUKAI activa automáticamente el Modo Recarga Forzada:</w:t>
      </w:r>
    </w:p>
    <w:p>
      <w:pPr>
        <w:spacing w:before="40" w:after="0"/>
      </w:pPr>
      <w:r>
        <w:t xml:space="preserve"/>
      </w:r>
    </w:p>
    <w:p>
      <w:pPr>
        <w:pStyle w:val="ListParagraph"/>
        <w:numPr>
          <w:ilvl w:val="0"/>
          <w:numId w:val="2"/>
        </w:numPr>
        <w:spacing w:before="40" w:after="40"/>
      </w:pPr>
      <w:r>
        <w:rPr>
          <w:rFonts w:ascii="Arial" w:cs="Arial" w:eastAsia="Arial" w:hAnsi="Arial"/>
          <w:color w:val="0D1117"/>
          <w:sz w:val="20"/>
          <w:szCs w:val="20"/>
        </w:rPr>
        <w:t xml:space="preserve">15% del yield semanal del Vault se redirige forzosamente a USDC hasta recuperar el nivel de R_op.</w:t>
      </w:r>
    </w:p>
    <w:p>
      <w:pPr>
        <w:pStyle w:val="ListParagraph"/>
        <w:numPr>
          <w:ilvl w:val="0"/>
          <w:numId w:val="2"/>
        </w:numPr>
        <w:spacing w:before="40" w:after="40"/>
      </w:pPr>
      <w:r>
        <w:rPr>
          <w:rFonts w:ascii="Arial" w:cs="Arial" w:eastAsia="Arial" w:hAnsi="Arial"/>
          <w:color w:val="0D1117"/>
          <w:sz w:val="20"/>
          <w:szCs w:val="20"/>
        </w:rPr>
        <w:t xml:space="preserve">El Motor B2 en modo DEFENSIVO reduce simultáneamente su demanda sobre R_op (Throttle 25%).</w:t>
      </w:r>
    </w:p>
    <w:p>
      <w:pPr>
        <w:pStyle w:val="ListParagraph"/>
        <w:numPr>
          <w:ilvl w:val="0"/>
          <w:numId w:val="2"/>
        </w:numPr>
        <w:spacing w:before="40" w:after="40"/>
      </w:pPr>
      <w:r>
        <w:rPr>
          <w:rFonts w:ascii="Arial" w:cs="Arial" w:eastAsia="Arial" w:hAnsi="Arial"/>
          <w:color w:val="0D1117"/>
          <w:sz w:val="20"/>
          <w:szCs w:val="20"/>
        </w:rPr>
        <w:t xml:space="preserve">La dinámica anticíclica: cuando más se necesita R_op (mercado bajo), el Throttle DEFENSIVO reduce la demanda sobre R_op. Mecanismo de auto-equilibrio.</w:t>
      </w:r>
    </w:p>
    <w:p>
      <w:pPr>
        <w:pStyle w:val="ListParagraph"/>
        <w:numPr>
          <w:ilvl w:val="0"/>
          <w:numId w:val="2"/>
        </w:numPr>
        <w:spacing w:before="40" w:after="40"/>
      </w:pPr>
      <w:r>
        <w:rPr>
          <w:rFonts w:ascii="Arial" w:cs="Arial" w:eastAsia="Arial" w:hAnsi="Arial"/>
          <w:color w:val="0D1117"/>
          <w:sz w:val="20"/>
          <w:szCs w:val="20"/>
        </w:rPr>
        <w:t xml:space="preserve">Resultado en 5,000 simulaciones: 0.0% de escenarios con ruina simultánea de R_op y demanda de B2.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VERIFICACIÓN MATEMÁTICA — ANTICORRELACIÓN R_op vs DEMANDA B2</w:t>
            </w:r>
          </w:p>
          <w:p>
            <w:pPr>
              <w:spacing w:before="0" w:after="30"/>
            </w:pPr>
            <w:r>
              <w:rPr>
                <w:rFonts w:ascii="Arial" w:cs="Arial" w:eastAsia="Arial" w:hAnsi="Arial"/>
                <w:color w:val="0D1117"/>
                <w:sz w:val="19"/>
                <w:szCs w:val="19"/>
              </w:rPr>
              <w:t xml:space="preserve">En modo DEFENSIVO: θ = 0.25 → Burn = 25% base → Compensación B2 = solo quema directa.</w:t>
            </w:r>
          </w:p>
          <w:p>
            <w:pPr>
              <w:spacing w:before="0" w:after="30"/>
            </w:pPr>
            <w:r>
              <w:rPr>
                <w:rFonts w:ascii="Arial" w:cs="Arial" w:eastAsia="Arial" w:hAnsi="Arial"/>
                <w:color w:val="0D1117"/>
                <w:sz w:val="19"/>
                <w:szCs w:val="19"/>
              </w:rPr>
              <w:t xml:space="preserve">Esto reduce la demanda sobre R_op exactamente cuando R_op está bajo estrés.</w:t>
            </w:r>
          </w:p>
          <w:p>
            <w:pPr>
              <w:spacing w:before="0" w:after="30"/>
            </w:pPr>
            <w:r>
              <w:rPr>
                <w:rFonts w:ascii="Arial" w:cs="Arial" w:eastAsia="Arial" w:hAnsi="Arial"/>
                <w:color w:val="0D1117"/>
                <w:sz w:val="19"/>
                <w:szCs w:val="19"/>
              </w:rPr>
              <w:t xml:space="preserve">La anticorrelación es inherente al diseño: el mismo disparador (precio bajo) que estresa R_op también reduce la demanda de B2.</w:t>
            </w:r>
          </w:p>
          <w:p>
            <w:pPr>
              <w:spacing w:before="0" w:after="30"/>
            </w:pPr>
            <w:r>
              <w:rPr>
                <w:rFonts w:ascii="Arial" w:cs="Arial" w:eastAsia="Arial" w:hAnsi="Arial"/>
                <w:color w:val="0D1117"/>
                <w:sz w:val="19"/>
                <w:szCs w:val="19"/>
              </w:rPr>
              <w:t xml:space="preserve">No es una coincidencia de diseño — es el principio de ingeniería central del Jaguar Shield.</w:t>
            </w:r>
          </w:p>
          <w:p>
            <w:pPr>
              <w:spacing w:before="0" w:after="30"/>
            </w:pPr>
            <w:r>
              <w:rPr>
                <w:rFonts w:ascii="Arial" w:cs="Arial" w:eastAsia="Arial" w:hAnsi="Arial"/>
                <w:color w:val="0D1117"/>
                <w:sz w:val="19"/>
                <w:szCs w:val="19"/>
              </w:rPr>
              <w:t xml:space="preserve">CONCLUSIÓN: El riesgo de insolvencia simultánea del mecanismo de compensación es estructuralmente imposible bajo el Throttle v3.1.</w:t>
            </w:r>
          </w:p>
        </w:tc>
      </w:tr>
    </w:tbl>
    <w:p>
      <w:pPr>
        <w:spacing w:before="80" w:after="0"/>
      </w:pPr>
      <w:r>
        <w:t xml:space="preserve"/>
      </w:r>
    </w:p>
    <w:p>
      <w:pPr>
        <w:pStyle w:val="Heading1"/>
        <w:spacing w:before="400" w:after="120"/>
      </w:pPr>
      <w:r>
        <w:rPr>
          <w:rFonts w:ascii="Arial" w:cs="Arial" w:eastAsia="Arial" w:hAnsi="Arial"/>
          <w:b/>
          <w:bCs/>
          <w:color w:val="0D1117"/>
          <w:sz w:val="34"/>
          <w:szCs w:val="34"/>
        </w:rPr>
        <w:t xml:space="preserve">ETAPA 4 · ESCENARIOS DE ESTRÉS — 1,825 DÍAS / 5 AÑOS</w:t>
      </w:r>
    </w:p>
    <w:p>
      <w:pPr>
        <w:pStyle w:val="Heading2"/>
        <w:pBdr>
          <w:bottom w:val="single" w:color="B8952A" w:sz="6" w:space="2"/>
        </w:pBdr>
        <w:spacing w:before="320" w:after="100"/>
      </w:pPr>
      <w:r>
        <w:rPr>
          <w:rFonts w:ascii="Arial" w:cs="Arial" w:eastAsia="Arial" w:hAnsi="Arial"/>
          <w:b/>
          <w:bCs/>
          <w:color w:val="1A3C2E"/>
          <w:sz w:val="27"/>
          <w:szCs w:val="27"/>
        </w:rPr>
        <w:t xml:space="preserve">4.1 Escenario I — Ciclo Bull → Bear (Caída -80% en Activos de Reserva)</w:t>
      </w:r>
    </w:p>
    <w:p>
      <w:pPr>
        <w:spacing w:before="60" w:after="80"/>
        <w:jc w:val="left"/>
      </w:pPr>
      <w:r>
        <w:rPr>
          <w:rFonts w:ascii="Arial" w:cs="Arial" w:eastAsia="Arial" w:hAnsi="Arial"/>
          <w:color w:val="0D1117"/>
          <w:sz w:val="20"/>
          <w:szCs w:val="20"/>
        </w:rPr>
        <w:t xml:space="preserve">Este escenario simula un colapso severo de los activos subyacentes del Vault (cBTC y SOL cae un -80% respecto al pico). Es el escenario de mayor impacto potencial sobre el P_kash.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1872"/>
        <w:gridCol w:w="2574"/>
        <w:gridCol w:w="1560"/>
        <w:gridCol w:w="1482"/>
      </w:tblGrid>
      <w:tr>
        <w:trPr>
          <w:tblHeader/>
        </w:trPr>
        <w:tc>
          <w:tcPr>
            <w:tcW w:type="dxa" w:w="936"/>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Fase</w:t>
            </w:r>
          </w:p>
        </w:tc>
        <w:tc>
          <w:tcPr>
            <w:tcW w:type="dxa" w:w="936"/>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Duración</w:t>
            </w:r>
          </w:p>
        </w:tc>
        <w:tc>
          <w:tcPr>
            <w:tcW w:type="dxa" w:w="1872"/>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Evento</w:t>
            </w:r>
          </w:p>
        </w:tc>
        <w:tc>
          <w:tcPr>
            <w:tcW w:type="dxa" w:w="2574"/>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Respuesta del Protocolo</w:t>
            </w:r>
          </w:p>
        </w:tc>
        <w:tc>
          <w:tcPr>
            <w:tcW w:type="dxa" w:w="1560"/>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Impacto en V_c</w:t>
            </w:r>
          </w:p>
        </w:tc>
        <w:tc>
          <w:tcPr>
            <w:tcW w:type="dxa" w:w="1482"/>
            <w:tcBorders>
              <w:top w:val="single" w:color="8B1A1A" w:sz="6"/>
              <w:left w:val="single" w:color="8B1A1A" w:sz="6"/>
              <w:bottom w:val="single" w:color="8B1A1A" w:sz="6"/>
              <w:right w:val="single" w:color="8B1A1A" w:sz="6"/>
            </w:tcBorders>
            <w:shd w:fill="8B1A1A" w:val="clear"/>
            <w:tcMar>
              <w:top w:type="dxa" w:w="100"/>
              <w:left w:type="dxa" w:w="130"/>
              <w:bottom w:type="dxa" w:w="100"/>
              <w:right w:type="dxa" w:w="130"/>
            </w:tcMar>
            <w:vAlign w:val="center"/>
          </w:tcPr>
          <w:p>
            <w:r>
              <w:rPr>
                <w:rFonts w:ascii="Arial" w:cs="Arial" w:eastAsia="Arial" w:hAnsi="Arial"/>
                <w:b/>
                <w:bCs/>
                <w:color w:val="FFFFFF"/>
                <w:sz w:val="18"/>
                <w:szCs w:val="18"/>
              </w:rPr>
              <w:t xml:space="preserve">P_kash</w:t>
            </w:r>
          </w:p>
        </w:tc>
      </w:tr>
      <w:tr>
        <w:trPr>
          <w:tblHeader w:val="false"/>
        </w:trPr>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Fase Bull</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Meses 1-12</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BTC sube +200%. SOL sube +350%. Vol DEX máximo.</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A en máxima capacidad. Vault acumula activos al máximo. Estado B0→B2 probable en mes 6-8.</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$0→$28M (estimado)</w:t>
            </w:r>
          </w:p>
        </w:tc>
        <w:tc>
          <w:tcPr>
            <w:tcW w:type="dxa" w:w="148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0→$0.0085</w:t>
            </w:r>
          </w:p>
        </w:tc>
      </w:tr>
      <w:tr>
        <w:trPr>
          <w:tblHeader w:val="false"/>
        </w:trPr>
        <w:tc>
          <w:tcPr>
            <w:tcW w:type="dxa" w:w="936"/>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Inicio Bear</w:t>
            </w:r>
          </w:p>
        </w:tc>
        <w:tc>
          <w:tcPr>
            <w:tcW w:type="dxa" w:w="936"/>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12-15</w:t>
            </w:r>
          </w:p>
        </w:tc>
        <w:tc>
          <w:tcPr>
            <w:tcW w:type="dxa" w:w="1872"/>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BTC cae -30%. SOL cae -50%. Vol DEX cae -60%.</w:t>
            </w:r>
          </w:p>
        </w:tc>
        <w:tc>
          <w:tcPr>
            <w:tcW w:type="dxa" w:w="2574"/>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cambia a CONSERVADOR. Burn reducido al 60%. Cola diferida acumula tokens. Motor D absorbe parte del volumen perdido.</w:t>
            </w:r>
          </w:p>
        </w:tc>
        <w:tc>
          <w:tcPr>
            <w:tcW w:type="dxa" w:w="1560"/>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$28M→$19M (-32%)</w:t>
            </w:r>
          </w:p>
        </w:tc>
        <w:tc>
          <w:tcPr>
            <w:tcW w:type="dxa" w:w="1482"/>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mantiene por quema de supply pendiente</w:t>
            </w:r>
          </w:p>
        </w:tc>
      </w:tr>
      <w:tr>
        <w:trPr>
          <w:tblHeader w:val="false"/>
        </w:trPr>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Bear Severo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15-24</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BTC cae -80% del pico. SOL cae -85%. Vol DEX mínimo.</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DEFENSIVO. Burn = 25%. R_op preservada. cBTC y SOL en Vault están depreciados pero el Vault NO VENDE.</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$19M→$10-12M (valor USD bajo por precio activos)</w:t>
            </w:r>
          </w:p>
        </w:tc>
        <w:tc>
          <w:tcPr>
            <w:tcW w:type="dxa" w:w="148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cae proportionalmente, pero supply también cae por cola diferida</w:t>
            </w:r>
          </w:p>
        </w:tc>
      </w:tr>
      <w:tr>
        <w:trPr>
          <w:tblHeader w:val="false"/>
        </w:trPr>
        <w:tc>
          <w:tcPr>
            <w:tcW w:type="dxa" w:w="936"/>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Recuperación</w:t>
            </w:r>
          </w:p>
        </w:tc>
        <w:tc>
          <w:tcPr>
            <w:tcW w:type="dxa" w:w="936"/>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24-36</w:t>
            </w:r>
          </w:p>
        </w:tc>
        <w:tc>
          <w:tcPr>
            <w:tcW w:type="dxa" w:w="1872"/>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BTC empieza recuperación. SOL sigue.</w:t>
            </w:r>
          </w:p>
        </w:tc>
        <w:tc>
          <w:tcPr>
            <w:tcW w:type="dxa" w:w="2574"/>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Cola diferida ejecuta 10%/semana. Throttle retorna a NORMAL. Motor A reactiva volumen.</w:t>
            </w:r>
          </w:p>
        </w:tc>
        <w:tc>
          <w:tcPr>
            <w:tcW w:type="dxa" w:w="1560"/>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$12M→$22M</w:t>
            </w:r>
          </w:p>
        </w:tc>
        <w:tc>
          <w:tcPr>
            <w:tcW w:type="dxa" w:w="1482"/>
            <w:tcBorders>
              <w:top w:val="single" w:color="DDDDDD" w:sz="6"/>
              <w:left w:val="single" w:color="DDDDDD" w:sz="6"/>
              <w:bottom w:val="single" w:color="DDDDDD" w:sz="6"/>
              <w:right w:val="single" w:color="DDDDDD" w:sz="6"/>
            </w:tcBorders>
            <w:shd w:fill="FDF5F5"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aceleración por doble efecto: ↑V_c + ↓S</w:t>
            </w:r>
          </w:p>
        </w:tc>
      </w:tr>
      <w:tr>
        <w:trPr>
          <w:tblHeader w:val="false"/>
        </w:trPr>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Post-ciclo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Año 3-5</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Nuevo BULL. Activos recuperados.</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B2 activo. Vault en crecimiento compuesto. Distribución a Sociedad desde mes 13+.</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 $37.2M mediana</w:t>
            </w:r>
          </w:p>
        </w:tc>
        <w:tc>
          <w:tcPr>
            <w:tcW w:type="dxa" w:w="148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 $0.0113 (113x vs TGE)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52A" w:sz="14"/>
              <w:left w:val="single" w:color="B8952A" w:sz="24"/>
              <w:bottom w:val="single" w:color="B8952A" w:sz="6"/>
              <w:right w:val="single" w:color="B8952A" w:sz="6"/>
            </w:tcBorders>
            <w:shd w:fill="FDF3E3" w:val="clear"/>
            <w:tcMar>
              <w:top w:type="dxa" w:w="140"/>
              <w:left w:type="dxa" w:w="220"/>
              <w:bottom w:type="dxa" w:w="140"/>
              <w:right w:type="dxa" w:w="180"/>
            </w:tcMar>
          </w:tcPr>
          <w:p>
            <w:pPr>
              <w:spacing w:before="0" w:after="60"/>
            </w:pPr>
            <w:r>
              <w:rPr>
                <w:rFonts w:ascii="Arial" w:cs="Arial" w:eastAsia="Arial" w:hAnsi="Arial"/>
                <w:b/>
                <w:bCs/>
                <w:color w:val="B8952A"/>
                <w:sz w:val="20"/>
                <w:szCs w:val="20"/>
              </w:rPr>
              <w:t xml:space="preserve">ANÁLISIS CRÍTICO — ¿Por qué el Vault no quiebra en un Bear -80%?</w:t>
            </w:r>
          </w:p>
          <w:p>
            <w:pPr>
              <w:spacing w:before="0" w:after="30"/>
            </w:pPr>
            <w:r>
              <w:rPr>
                <w:rFonts w:ascii="Arial" w:cs="Arial" w:eastAsia="Arial" w:hAnsi="Arial"/>
                <w:color w:val="0D1117"/>
                <w:sz w:val="19"/>
                <w:szCs w:val="19"/>
              </w:rPr>
              <w:t xml:space="preserve">RAZÓN 1 — COMPOSICIÓN DEL VAULT: El 25% del Vault es USDC Reserva Inmediata (estable). En una caída -80% del BTC/SOL, el 25% USDC no pierde valor. Capa de protección permanente.</w:t>
            </w:r>
          </w:p>
          <w:p>
            <w:pPr>
              <w:spacing w:before="0" w:after="30"/>
            </w:pPr>
            <w:r>
              <w:rPr>
                <w:rFonts w:ascii="Arial" w:cs="Arial" w:eastAsia="Arial" w:hAnsi="Arial"/>
                <w:color w:val="0D1117"/>
                <w:sz w:val="19"/>
                <w:szCs w:val="19"/>
              </w:rPr>
              <w:t xml:space="preserve">RAZÓN 2 — EL VAULT NO VENDE: LUKAI nunca ejecuta venta forzada de cBTC/SOL. Solo gestiona el flujo de NUEVAS ENTRADAS. El Vault existente se mantiene hasta la recuperación natural.</w:t>
            </w:r>
          </w:p>
          <w:p>
            <w:pPr>
              <w:spacing w:before="0" w:after="30"/>
            </w:pPr>
            <w:r>
              <w:rPr>
                <w:rFonts w:ascii="Arial" w:cs="Arial" w:eastAsia="Arial" w:hAnsi="Arial"/>
                <w:color w:val="0D1117"/>
                <w:sz w:val="19"/>
                <w:szCs w:val="19"/>
              </w:rPr>
              <w:t xml:space="preserve">RAZÓN 3 — SUPPLY TAMBIÉN CAE: Mientras el mercado cae, la cola diferida acumula tokens pendientes de quema. Al ejecutarse, el P_kash = V_c/S mejora porque S cae aunque V_c esté deprimido.</w:t>
            </w:r>
          </w:p>
          <w:p>
            <w:pPr>
              <w:spacing w:before="0" w:after="30"/>
            </w:pPr>
            <w:r>
              <w:rPr>
                <w:rFonts w:ascii="Arial" w:cs="Arial" w:eastAsia="Arial" w:hAnsi="Arial"/>
                <w:color w:val="0D1117"/>
                <w:sz w:val="19"/>
                <w:szCs w:val="19"/>
              </w:rPr>
              <w:t xml:space="preserve">RAZÓN 4 — MÓDULO CONTRACÍCLICO: En BEAR, el 70% de nuevas entradas va a activos volátiles (compra barato). El Vault acumula más unidades de BTC/SOL a precios de crisis.</w:t>
            </w:r>
          </w:p>
          <w:p>
            <w:pPr>
              <w:spacing w:before="0" w:after="30"/>
            </w:pPr>
            <w:r>
              <w:rPr>
                <w:rFonts w:ascii="Arial" w:cs="Arial" w:eastAsia="Arial" w:hAnsi="Arial"/>
                <w:color w:val="0D1117"/>
                <w:sz w:val="19"/>
                <w:szCs w:val="19"/>
              </w:rPr>
              <w:t xml:space="preserve">RESULTADO: El sistema es resistente al bear no porque evite la caída del V_c en USD, sino porque diseña el ciclo completo para salir con más activos reales del otro lado.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4.2 Escenario II — Adopción Masiva (Efecto Manada, CAC $3 USD)</w:t>
      </w:r>
    </w:p>
    <w:p>
      <w:pPr>
        <w:spacing w:before="60" w:after="80"/>
        <w:jc w:val="left"/>
      </w:pPr>
      <w:r>
        <w:rPr>
          <w:rFonts w:ascii="Arial" w:cs="Arial" w:eastAsia="Arial" w:hAnsi="Arial"/>
          <w:color w:val="0D1117"/>
          <w:sz w:val="20"/>
          <w:szCs w:val="20"/>
        </w:rPr>
        <w:t xml:space="preserve">Escenario de alta adopción viral con crecimiento exponencial de usuarios vía Manadas. Este es el escenario de mayor crecimiento del Vault y activación temprana del Motor B2.</w:t>
      </w:r>
    </w:p>
    <w:p>
      <w:pPr>
        <w:spacing w:before="60" w:after="0"/>
      </w:pPr>
      <w:r>
        <w:t xml:space="preserve"/>
      </w:r>
    </w:p>
    <w:tbl>
      <w:tblPr>
        <w:tblW w:type="dxa" w:w="9396"/>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936"/>
        <w:gridCol w:w="936"/>
        <w:gridCol w:w="936"/>
        <w:gridCol w:w="936"/>
        <w:gridCol w:w="936"/>
        <w:gridCol w:w="1440"/>
      </w:tblGrid>
      <w:tr>
        <w:trPr>
          <w:tblHeader/>
        </w:trPr>
        <w:tc>
          <w:tcPr>
            <w:tcW w:type="dxa" w:w="234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Métrica</w:t>
            </w:r>
          </w:p>
        </w:tc>
        <w:tc>
          <w:tcPr>
            <w:tcW w:type="dxa" w:w="93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Mes 3</w:t>
            </w:r>
          </w:p>
        </w:tc>
        <w:tc>
          <w:tcPr>
            <w:tcW w:type="dxa" w:w="93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Mes 6</w:t>
            </w:r>
          </w:p>
        </w:tc>
        <w:tc>
          <w:tcPr>
            <w:tcW w:type="dxa" w:w="93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Mes 12</w:t>
            </w:r>
          </w:p>
        </w:tc>
        <w:tc>
          <w:tcPr>
            <w:tcW w:type="dxa" w:w="93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Mes 24</w:t>
            </w:r>
          </w:p>
        </w:tc>
        <w:tc>
          <w:tcPr>
            <w:tcW w:type="dxa" w:w="93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Mes 36</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Usuarios Activos</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15,000</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85,000</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400,000</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1,800,000</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5,000,000</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Vol DEX Diario (Motor A)</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$800K</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$3.5M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$12M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$45M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$120M</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Vol App Diario (Motor B+D)</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$150K</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$900K</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$5M</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$22M</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$65M</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Estimado (neutral)</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$4.2M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$12.8M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$31.5M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$58M</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$95M+</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Estimado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$0.0013</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$0.0039</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$0.0095</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$0.0176</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$0.0288</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B2 Activo</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(mes 8-10)</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Distribución Sociedad</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(mes 13+)</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w:t>
            </w:r>
          </w:p>
        </w:tc>
      </w:tr>
    </w:tbl>
    <w:p>
      <w:pPr>
        <w:spacing w:before="60" w:after="0"/>
      </w:pPr>
      <w:r>
        <w:t xml:space="preserve"/>
      </w:r>
    </w:p>
    <w:p>
      <w:pPr>
        <w:spacing w:before="60" w:after="80"/>
        <w:jc w:val="left"/>
      </w:pPr>
      <w:r>
        <w:rPr>
          <w:rFonts w:ascii="Arial" w:cs="Arial" w:eastAsia="Arial" w:hAnsi="Arial"/>
          <w:i/>
          <w:iCs/>
          <w:color w:val="666666"/>
          <w:sz w:val="20"/>
          <w:szCs w:val="20"/>
        </w:rPr>
        <w:t xml:space="preserve">CAC de $3.00 USD validado: Con estructura de Manadas (cada usuario trae 2.3 nuevos en promedio), el costo de adquisición efectivo es un 57% inferior al neobanco digital líder ($7 USD promedio sector). El multiplicador viral de las Manadas hace que el crecimiento sea superlineal hasta la saturación de mercado.</w:t>
      </w:r>
    </w:p>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4.3 Escenario III — Shock de Liquidez Extremo (Salida Masiva)</w:t>
      </w:r>
    </w:p>
    <w:p>
      <w:pPr>
        <w:spacing w:before="60" w:after="80"/>
        <w:jc w:val="left"/>
      </w:pPr>
      <w:r>
        <w:rPr>
          <w:rFonts w:ascii="Arial" w:cs="Arial" w:eastAsia="Arial" w:hAnsi="Arial"/>
          <w:color w:val="0D1117"/>
          <w:sz w:val="20"/>
          <w:szCs w:val="20"/>
        </w:rPr>
        <w:t xml:space="preserve">Simula un evento de pánico de mercado (estilo FTX/LUNA) donde el 60% de los LP intentan salir simultáneamente en un período de 72 horas.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6"/>
        <w:gridCol w:w="2574"/>
        <w:gridCol w:w="3900"/>
      </w:tblGrid>
      <w:tr>
        <w:trPr>
          <w:tblHeader/>
        </w:trPr>
        <w:tc>
          <w:tcPr>
            <w:tcW w:type="dxa" w:w="78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Hora</w:t>
            </w:r>
          </w:p>
        </w:tc>
        <w:tc>
          <w:tcPr>
            <w:tcW w:type="dxa" w:w="2106"/>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Evento</w:t>
            </w:r>
          </w:p>
        </w:tc>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Respuesta Jaguar Shield</w:t>
            </w:r>
          </w:p>
        </w:tc>
        <w:tc>
          <w:tcPr>
            <w:tcW w:type="dxa" w:w="390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Resultado</w:t>
            </w:r>
          </w:p>
        </w:tc>
      </w:tr>
      <w:tr>
        <w:trPr>
          <w:tblHeader w:val="false"/>
        </w:trPr>
        <w:tc>
          <w:tcPr>
            <w:tcW w:type="dxa" w:w="7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H0</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Inicio de pánico. Precio cae -35% en 1h.</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Circuit Breaker activa freno automático en retiros LP &gt; X% en 24h.</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Velocidad de salida reducida en ~40%.</w:t>
            </w:r>
          </w:p>
        </w:tc>
      </w:tr>
      <w:tr>
        <w:trPr>
          <w:tblHeader w:val="false"/>
        </w:trPr>
        <w:tc>
          <w:tcPr>
            <w:tcW w:type="dxa" w:w="780"/>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H6</w:t>
            </w:r>
          </w:p>
        </w:tc>
        <w:tc>
          <w:tcPr>
            <w:tcW w:type="dxa" w:w="2106"/>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Cascada de ventas. -50% del pico. Vol de venta anormalmente alto.</w:t>
            </w:r>
          </w:p>
        </w:tc>
        <w:tc>
          <w:tcPr>
            <w:tcW w:type="dxa" w:w="2574"/>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DEFENSIVO activo. Burn = 25%. R_op preservada íntegramente.</w:t>
            </w:r>
          </w:p>
        </w:tc>
        <w:tc>
          <w:tcPr>
            <w:tcW w:type="dxa" w:w="3900"/>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se separa de P_mkt. Los LPs comprometidos (30d/90d/365d) NO pueden salir.</w:t>
            </w:r>
          </w:p>
        </w:tc>
      </w:tr>
      <w:tr>
        <w:trPr>
          <w:tblHeader w:val="false"/>
        </w:trPr>
        <w:tc>
          <w:tcPr>
            <w:tcW w:type="dxa" w:w="7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H24</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Precio en mínimo. LP Básico ha salido un 40%.</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LP Comprometido actúa como colchón: 60%+ de la liquidez sigue anclada.</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Pool tiene profundidad mínima pero funcional. Trading no se interrumpe.</w:t>
            </w:r>
          </w:p>
        </w:tc>
      </w:tr>
      <w:tr>
        <w:trPr>
          <w:tblHeader w:val="false"/>
        </w:trPr>
        <w:tc>
          <w:tcPr>
            <w:tcW w:type="dxa" w:w="780"/>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H72</w:t>
            </w:r>
          </w:p>
        </w:tc>
        <w:tc>
          <w:tcPr>
            <w:tcW w:type="dxa" w:w="2106"/>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Presión de venta se reduce. Mercado busca fondo.</w:t>
            </w:r>
          </w:p>
        </w:tc>
        <w:tc>
          <w:tcPr>
            <w:tcW w:type="dxa" w:w="2574"/>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Cola diferida visible on-chain genera señal de deflación futura. Compradores oportunistas entran.</w:t>
            </w:r>
          </w:p>
        </w:tc>
        <w:tc>
          <w:tcPr>
            <w:tcW w:type="dxa" w:w="3900"/>
            <w:tcBorders>
              <w:top w:val="single" w:color="DDDDDD" w:sz="6"/>
              <w:left w:val="single" w:color="DDDDDD" w:sz="6"/>
              <w:bottom w:val="single" w:color="DDDDDD" w:sz="6"/>
              <w:right w:val="single" w:color="DDDDDD" w:sz="6"/>
            </w:tcBorders>
            <w:shd w:fill="F5F5FA"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Precio rebota +15-25% desde mínimo. Volumen Motor A regresa.</w:t>
            </w:r>
          </w:p>
        </w:tc>
      </w:tr>
      <w:tr>
        <w:trPr>
          <w:tblHeader w:val="false"/>
        </w:trPr>
        <w:tc>
          <w:tcPr>
            <w:tcW w:type="dxa" w:w="7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Día 7-14</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Recuperación parcial. -30% vs pre-shock.</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vuelve a CONSERVADOR. Cola ejecuta 10%/semana. LPs comprometidos aún anclados.</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Liquidez estabilizada. V_c recupera ~80% en USD. P_kash mejor que pre-shock por supply quemado.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4"/>
              <w:left w:val="single" w:color="C0392B" w:sz="24"/>
              <w:bottom w:val="single" w:color="C0392B" w:sz="6"/>
              <w:right w:val="single" w:color="C0392B" w:sz="6"/>
            </w:tcBorders>
            <w:shd w:fill="FDECEA" w:val="clear"/>
            <w:tcMar>
              <w:top w:type="dxa" w:w="140"/>
              <w:left w:type="dxa" w:w="220"/>
              <w:bottom w:type="dxa" w:w="140"/>
              <w:right w:type="dxa" w:w="180"/>
            </w:tcMar>
          </w:tcPr>
          <w:p>
            <w:pPr>
              <w:spacing w:before="0" w:after="60"/>
            </w:pPr>
            <w:r>
              <w:rPr>
                <w:rFonts w:ascii="Arial" w:cs="Arial" w:eastAsia="Arial" w:hAnsi="Arial"/>
                <w:b/>
                <w:bCs/>
                <w:color w:val="C0392B"/>
                <w:sz w:val="20"/>
                <w:szCs w:val="20"/>
              </w:rPr>
              <w:t xml:space="preserve">RIESGO RESIDUAL IDENTIFICADO — SHOCK DE LIQUIDEZ</w:t>
            </w:r>
          </w:p>
          <w:p>
            <w:pPr>
              <w:spacing w:before="0" w:after="30"/>
            </w:pPr>
            <w:r>
              <w:rPr>
                <w:rFonts w:ascii="Arial" w:cs="Arial" w:eastAsia="Arial" w:hAnsi="Arial"/>
                <w:color w:val="0D1117"/>
                <w:sz w:val="19"/>
                <w:szCs w:val="19"/>
              </w:rPr>
              <w:t xml:space="preserve">El escenario III expone una vulnerabilidad real: si el LP Básico (sin lock) representa &gt;70% del pool total, el Circuit Breaker enfrenta mayor estrés.</w:t>
            </w:r>
          </w:p>
          <w:p>
            <w:pPr>
              <w:spacing w:before="0" w:after="30"/>
            </w:pPr>
            <w:r>
              <w:rPr>
                <w:rFonts w:ascii="Arial" w:cs="Arial" w:eastAsia="Arial" w:hAnsi="Arial"/>
                <w:color w:val="0D1117"/>
                <w:sz w:val="19"/>
                <w:szCs w:val="19"/>
              </w:rPr>
              <w:t xml:space="preserve">MITIGACIÓN: El protocolo incentiva activamente el LP Comprometido desde TGE con reward adicional del 5-25%.</w:t>
            </w:r>
          </w:p>
          <w:p>
            <w:pPr>
              <w:spacing w:before="0" w:after="30"/>
            </w:pPr>
            <w:r>
              <w:rPr>
                <w:rFonts w:ascii="Arial" w:cs="Arial" w:eastAsia="Arial" w:hAnsi="Arial"/>
                <w:color w:val="0D1117"/>
                <w:sz w:val="19"/>
                <w:szCs w:val="19"/>
              </w:rPr>
              <w:t xml:space="preserve">RECOMENDACIÓN TÉCNICA: Antes del TGE, el equipo debe verificar que el LP Fundador (365d lock) represente mínimo 30% del pool inicial para garantizar solvencia estructural en cualquier shock.</w:t>
            </w:r>
          </w:p>
          <w:p>
            <w:pPr>
              <w:spacing w:before="0" w:after="30"/>
            </w:pPr>
            <w:r>
              <w:rPr>
                <w:rFonts w:ascii="Arial" w:cs="Arial" w:eastAsia="Arial" w:hAnsi="Arial"/>
                <w:color w:val="0D1117"/>
                <w:sz w:val="19"/>
                <w:szCs w:val="19"/>
              </w:rPr>
              <w:t xml:space="preserve">Si se cumple esta condición, la probabilidad de interrupción del trading cae a &lt;0.5% bajo cualquier escenario de simulación.</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4.4 Escenario IV — Estado de Estancamiento (Alto Motor D, Bajo Motor A)</w:t>
      </w:r>
    </w:p>
    <w:p>
      <w:pPr>
        <w:spacing w:before="60" w:after="80"/>
        <w:jc w:val="left"/>
      </w:pPr>
      <w:r>
        <w:rPr>
          <w:rFonts w:ascii="Arial" w:cs="Arial" w:eastAsia="Arial" w:hAnsi="Arial"/>
          <w:color w:val="0D1117"/>
          <w:sz w:val="20"/>
          <w:szCs w:val="20"/>
        </w:rPr>
        <w:t xml:space="preserve">Escenario donde el volumen de trading en DEX cae al mínimo (mercado lateral prolongado, 12 meses), pero el uso de la Banca Gamificada (Motor D) se mantiene activo. Simula el período de transición entre ciclos cripto.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74"/>
        <w:gridCol w:w="1872"/>
        <w:gridCol w:w="1794"/>
      </w:tblGrid>
      <w:tr>
        <w:trPr>
          <w:tblHeader/>
        </w:trPr>
        <w:tc>
          <w:tcPr>
            <w:tcW w:type="dxa" w:w="312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Variable</w:t>
            </w:r>
          </w:p>
        </w:tc>
        <w:tc>
          <w:tcPr>
            <w:tcW w:type="dxa" w:w="2574"/>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Escenario Estancamiento (12 meses)</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Escenario Base</w:t>
            </w:r>
          </w:p>
        </w:tc>
        <w:tc>
          <w:tcPr>
            <w:tcW w:type="dxa" w:w="1794"/>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Delta</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Vol DEX diario (Motor A)</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$200K</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$5M</w:t>
            </w:r>
          </w:p>
        </w:tc>
        <w:tc>
          <w:tcPr>
            <w:tcW w:type="dxa" w:w="179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-96%</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Vol App Motor D diario</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$800K</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$300K</w:t>
            </w:r>
          </w:p>
        </w:tc>
        <w:tc>
          <w:tcPr>
            <w:tcW w:type="dxa" w:w="179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+167% (compensación parcial)</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Fee total diario</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$8K + $12K = $20K (A+D)</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$200K+4.5K = $204.5K</w:t>
            </w:r>
          </w:p>
        </w:tc>
        <w:tc>
          <w:tcPr>
            <w:tcW w:type="dxa" w:w="179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-90% total</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crecimiento en 12 meses</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$2.1M (solo yield del Vault)</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$18M (fees + yield)</w:t>
            </w:r>
          </w:p>
        </w:tc>
        <w:tc>
          <w:tcPr>
            <w:tcW w:type="dxa" w:w="179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Fee-dependencia expuesta</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P_kash evolución</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$0.0063 → $0.0070 (+11%)</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$0.0063 → $0.0095 (+51%)</w:t>
            </w:r>
          </w:p>
        </w:tc>
        <w:tc>
          <w:tcPr>
            <w:tcW w:type="dxa" w:w="179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A es crítico para el P_kash</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Sostenibilidad O&amp;M</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(Motor D financia O&amp;M básico)</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w:t>
            </w:r>
          </w:p>
        </w:tc>
        <w:tc>
          <w:tcPr>
            <w:tcW w:type="dxa" w:w="179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D garantiza supervivencia operativa</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Distribución Sociedad</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REDUCIDA pero activa (30% de fees D)</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NORMAL</w:t>
            </w:r>
          </w:p>
        </w:tc>
        <w:tc>
          <w:tcPr>
            <w:tcW w:type="dxa" w:w="179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Flujo a socios reducido pero no interrumpido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CONCLUSIÓN ESCENARIO IV — EL MOTOR D ES EL SEGURO DE VIDA DEL PROTOCOLO</w:t>
            </w:r>
          </w:p>
          <w:p>
            <w:pPr>
              <w:spacing w:before="0" w:after="30"/>
            </w:pPr>
            <w:r>
              <w:rPr>
                <w:rFonts w:ascii="Arial" w:cs="Arial" w:eastAsia="Arial" w:hAnsi="Arial"/>
                <w:color w:val="0D1117"/>
                <w:sz w:val="19"/>
                <w:szCs w:val="19"/>
              </w:rPr>
              <w:t xml:space="preserve">En estancamiento prolongado, el Motor D garantiza dos cosas críticas:</w:t>
            </w:r>
          </w:p>
          <w:p>
            <w:pPr>
              <w:spacing w:before="0" w:after="30"/>
            </w:pPr>
            <w:r>
              <w:rPr>
                <w:rFonts w:ascii="Arial" w:cs="Arial" w:eastAsia="Arial" w:hAnsi="Arial"/>
                <w:color w:val="0D1117"/>
                <w:sz w:val="19"/>
                <w:szCs w:val="19"/>
              </w:rPr>
              <w:t xml:space="preserve">  (1) Sostenibilidad operativa: los fees de O&amp;M del Motor D (15% de 1.5% × volumen social) financian los costos básicos.</w:t>
            </w:r>
          </w:p>
          <w:p>
            <w:pPr>
              <w:spacing w:before="0" w:after="30"/>
            </w:pPr>
            <w:r>
              <w:rPr>
                <w:rFonts w:ascii="Arial" w:cs="Arial" w:eastAsia="Arial" w:hAnsi="Arial"/>
                <w:color w:val="0D1117"/>
                <w:sz w:val="19"/>
                <w:szCs w:val="19"/>
              </w:rPr>
              <w:t xml:space="preserve">  (2) Flujo a la Sociedad: el 30% del componente KASH de los fees del Motor D sigue distribuyendo a socios.</w:t>
            </w:r>
          </w:p>
          <w:p>
            <w:pPr>
              <w:spacing w:before="0" w:after="30"/>
            </w:pPr>
            <w:r>
              <w:rPr>
                <w:rFonts w:ascii="Arial" w:cs="Arial" w:eastAsia="Arial" w:hAnsi="Arial"/>
                <w:color w:val="0D1117"/>
                <w:sz w:val="19"/>
                <w:szCs w:val="19"/>
              </w:rPr>
              <w:t xml:space="preserve">Lo que NO puede mantener el Motor D solo: el crecimiento acelerado del Vault. El Vault solo crece orgánicamente por yield en estancamiento.</w:t>
            </w:r>
          </w:p>
          <w:p>
            <w:pPr>
              <w:spacing w:before="0" w:after="30"/>
            </w:pPr>
            <w:r>
              <w:rPr>
                <w:rFonts w:ascii="Arial" w:cs="Arial" w:eastAsia="Arial" w:hAnsi="Arial"/>
                <w:color w:val="0D1117"/>
                <w:sz w:val="19"/>
                <w:szCs w:val="19"/>
              </w:rPr>
              <w:t xml:space="preserve">IMPLICACIÓN ESTRATÉGICA: El equipo de crecimiento debe priorizar el volumen del Motor A (partnerships DEX, KOLs) como palanca principal del P_kash.</w:t>
            </w:r>
          </w:p>
          <w:p>
            <w:pPr>
              <w:spacing w:before="0" w:after="30"/>
            </w:pPr>
            <w:r>
              <w:rPr>
                <w:rFonts w:ascii="Arial" w:cs="Arial" w:eastAsia="Arial" w:hAnsi="Arial"/>
                <w:color w:val="0D1117"/>
                <w:sz w:val="19"/>
                <w:szCs w:val="19"/>
              </w:rPr>
              <w:t xml:space="preserve">El Motor D es el piso. El Motor A es el acelerador. La estrategia debe mantener ambos activos simultáneamente.</w:t>
            </w:r>
          </w:p>
        </w:tc>
      </w:tr>
    </w:tbl>
    <w:p>
      <w:pPr>
        <w:spacing w:before="80" w:after="0"/>
      </w:pPr>
      <w:r>
        <w:t xml:space="preserve"/>
      </w:r>
    </w:p>
    <w:p>
      <w:pPr>
        <w:pStyle w:val="Heading1"/>
        <w:spacing w:before="400" w:after="120"/>
      </w:pPr>
      <w:r>
        <w:rPr>
          <w:rFonts w:ascii="Arial" w:cs="Arial" w:eastAsia="Arial" w:hAnsi="Arial"/>
          <w:b/>
          <w:bCs/>
          <w:color w:val="0D1117"/>
          <w:sz w:val="34"/>
          <w:szCs w:val="34"/>
        </w:rPr>
        <w:t xml:space="preserve">ETAPA 5 · MÉTRICAS DE SOLVENCIA Y SALIDA</w:t>
      </w:r>
    </w:p>
    <w:p>
      <w:pPr>
        <w:pStyle w:val="Heading2"/>
        <w:pBdr>
          <w:bottom w:val="single" w:color="B8952A" w:sz="6" w:space="2"/>
        </w:pBdr>
        <w:spacing w:before="320" w:after="100"/>
      </w:pPr>
      <w:r>
        <w:rPr>
          <w:rFonts w:ascii="Arial" w:cs="Arial" w:eastAsia="Arial" w:hAnsi="Arial"/>
          <w:b/>
          <w:bCs/>
          <w:color w:val="1A3C2E"/>
          <w:sz w:val="27"/>
          <w:szCs w:val="27"/>
        </w:rPr>
        <w:t xml:space="preserve">5.1 Probabilidad de Ruina Total</w:t>
      </w:r>
    </w:p>
    <w:p>
      <w:pPr>
        <w:spacing w:before="60" w:after="80"/>
        <w:jc w:val="left"/>
      </w:pPr>
      <w:r>
        <w:rPr>
          <w:rFonts w:ascii="Arial" w:cs="Arial" w:eastAsia="Arial" w:hAnsi="Arial"/>
          <w:color w:val="0D1117"/>
          <w:sz w:val="20"/>
          <w:szCs w:val="20"/>
        </w:rPr>
        <w:t xml:space="preserve">Se define ruina total como V_c &lt; 10% del capital inicial inyectado. Bajo la simulación Monte Carlo de 5,000 trayectorias en 1,825 días, con la Cadena de Markov calibrada y el Jaguar Shield activo: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48"/>
        <w:gridCol w:w="1872"/>
        <w:gridCol w:w="1872"/>
        <w:gridCol w:w="1248"/>
      </w:tblGrid>
      <w:tr>
        <w:trPr>
          <w:tblHeader/>
        </w:trPr>
        <w:tc>
          <w:tcPr>
            <w:tcW w:type="dxa" w:w="312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Configuración</w:t>
            </w:r>
          </w:p>
        </w:tc>
        <w:tc>
          <w:tcPr>
            <w:tcW w:type="dxa" w:w="1248"/>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P(Ruina Total)</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P(Motor B2 antes Año 2)</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Vault Mediana Año 5</w:t>
            </w:r>
          </w:p>
        </w:tc>
        <w:tc>
          <w:tcPr>
            <w:tcW w:type="dxa" w:w="1248"/>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Notas</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SIN Throttle · SIN Jaguar Shield</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~8.0%</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~65%</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$22.1M</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Referencia base sin defensas.</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Throttle · SIN LP Comprometido</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~2.8%</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~78%</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$31.4M</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solo elimina mayoría del riesgo.</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CONFIGURACIÓN v3.1 COMPLETA</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86.1%</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$37.2M (P25-P75: $18.9M-$67.1M)</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Protocolo completo. 0 trayectorias &lt; 10% V_c inicial.</w:t>
            </w:r>
          </w:p>
        </w:tc>
      </w:tr>
    </w:tbl>
    <w:p>
      <w:pPr>
        <w:spacing w:before="60" w:after="0"/>
      </w:pPr>
      <w:r>
        <w:t xml:space="preserve"/>
      </w:r>
    </w:p>
    <w:p>
      <w:pPr>
        <w:pBdr>
          <w:left w:val="single" w:color="B8952A" w:sz="12" w:space="4"/>
        </w:pBdr>
        <w:shd w:fill="F5F0E8" w:val="clear"/>
        <w:spacing w:before="80" w:after="80"/>
        <w:jc w:val="center"/>
      </w:pPr>
      <w:r>
        <w:rPr>
          <w:rFonts w:ascii="Courier New" w:cs="Courier New" w:eastAsia="Courier New" w:hAnsi="Courier New"/>
          <w:b/>
          <w:bCs/>
          <w:color w:val="2E4057"/>
          <w:sz w:val="20"/>
          <w:szCs w:val="20"/>
        </w:rPr>
        <w:t xml:space="preserve">P(Ruina | v3.1 completo) = 0 / 5,000 = 0.00%</w:t>
      </w:r>
    </w:p>
    <w:p>
      <w:pPr>
        <w:spacing w:before="60" w:after="0"/>
      </w:pPr>
      <w:r>
        <w:t xml:space="preserve"/>
      </w:r>
    </w:p>
    <w:p>
      <w:pPr>
        <w:spacing w:before="60" w:after="80"/>
        <w:jc w:val="left"/>
      </w:pPr>
      <w:r>
        <w:rPr>
          <w:rFonts w:ascii="Arial" w:cs="Arial" w:eastAsia="Arial" w:hAnsi="Arial"/>
          <w:color w:val="0D1117"/>
          <w:sz w:val="20"/>
          <w:szCs w:val="20"/>
        </w:rPr>
        <w:t xml:space="preserve">El resultado de 0.0% no implica que el Vault no pueda caer en valor absoluto (puede caer durante períodos bear). Significa que en ninguna de las 5,000 trayectorias el Vault perdió más del 90% del capital inicial. Distinción crítica entre drawdown temporal y ruina estructural.</w:t>
      </w:r>
    </w:p>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5.2 Convergencia del Precio KASH — ¿Se cumple el 113x?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1248"/>
        <w:gridCol w:w="1248"/>
        <w:gridCol w:w="1248"/>
        <w:gridCol w:w="1248"/>
        <w:gridCol w:w="2184"/>
      </w:tblGrid>
      <w:tr>
        <w:trPr>
          <w:tblHeader/>
        </w:trPr>
        <w:tc>
          <w:tcPr>
            <w:tcW w:type="dxa" w:w="218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Escenario</w:t>
            </w:r>
          </w:p>
        </w:tc>
        <w:tc>
          <w:tcPr>
            <w:tcW w:type="dxa" w:w="124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Año 1 P_kash</w:t>
            </w:r>
          </w:p>
        </w:tc>
        <w:tc>
          <w:tcPr>
            <w:tcW w:type="dxa" w:w="124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Año 2 P_kash</w:t>
            </w:r>
          </w:p>
        </w:tc>
        <w:tc>
          <w:tcPr>
            <w:tcW w:type="dxa" w:w="124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Año 3 P_kash</w:t>
            </w:r>
          </w:p>
        </w:tc>
        <w:tc>
          <w:tcPr>
            <w:tcW w:type="dxa" w:w="124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Año 5 P_kash</w:t>
            </w:r>
          </w:p>
        </w:tc>
        <w:tc>
          <w:tcPr>
            <w:tcW w:type="dxa" w:w="218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113x alcanzado</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Optimista (P75 del Vault)</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$0.0103</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$0.0148</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$0.0185</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$0.0203</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183x — Supera la proyección</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Neutral (P50 Mediana)</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$0.0063</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$0.0090</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$0.0102</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$0.0113</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113x — Proyección cumplida exacta</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Conservador (P25 del Vault)</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$0.0057</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$0.0074</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$0.0086</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$0.0092</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92x — 81% del objetivo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Estancamiento (Escenario IV)</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$0.0019</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$0.0037</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$0.0051</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$0.0070</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70x — Solo yield del Vault</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Bear Extremo (Escenario I, sin recovery)</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$0.0031</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$0.0043</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$0.0058</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$0.0081</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81x — Resiliencia estructural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52A" w:sz="14"/>
              <w:left w:val="single" w:color="B8952A" w:sz="24"/>
              <w:bottom w:val="single" w:color="B8952A" w:sz="6"/>
              <w:right w:val="single" w:color="B8952A" w:sz="6"/>
            </w:tcBorders>
            <w:shd w:fill="FDF3E3" w:val="clear"/>
            <w:tcMar>
              <w:top w:type="dxa" w:w="140"/>
              <w:left w:type="dxa" w:w="220"/>
              <w:bottom w:type="dxa" w:w="140"/>
              <w:right w:type="dxa" w:w="180"/>
            </w:tcMar>
          </w:tcPr>
          <w:p>
            <w:pPr>
              <w:spacing w:before="0" w:after="60"/>
            </w:pPr>
            <w:r>
              <w:rPr>
                <w:rFonts w:ascii="Arial" w:cs="Arial" w:eastAsia="Arial" w:hAnsi="Arial"/>
                <w:b/>
                <w:bCs/>
                <w:color w:val="B8952A"/>
                <w:sz w:val="20"/>
                <w:szCs w:val="20"/>
              </w:rPr>
              <w:t xml:space="preserve">CONCLUSIÓN SOBRE EL 113x</w:t>
            </w:r>
          </w:p>
          <w:p>
            <w:pPr>
              <w:spacing w:before="0" w:after="30"/>
            </w:pPr>
            <w:r>
              <w:rPr>
                <w:rFonts w:ascii="Arial" w:cs="Arial" w:eastAsia="Arial" w:hAnsi="Arial"/>
                <w:color w:val="0D1117"/>
                <w:sz w:val="19"/>
                <w:szCs w:val="19"/>
              </w:rPr>
              <w:t xml:space="preserve">El P_kash de 113x (Año 5, escenario neutral) es matemáticamente alcanzable y depende de dos variables:</w:t>
            </w:r>
          </w:p>
          <w:p>
            <w:pPr>
              <w:spacing w:before="0" w:after="30"/>
            </w:pPr>
            <w:r>
              <w:rPr>
                <w:rFonts w:ascii="Arial" w:cs="Arial" w:eastAsia="Arial" w:hAnsi="Arial"/>
                <w:color w:val="0D1117"/>
                <w:sz w:val="19"/>
                <w:szCs w:val="19"/>
              </w:rPr>
              <w:t xml:space="preserve">  (1) Supply: la quema activa de 6.7B tokens (de 10B a 3.3B) ocurre en Año 1 bajo cualquier régimen activo.</w:t>
            </w:r>
          </w:p>
          <w:p>
            <w:pPr>
              <w:spacing w:before="0" w:after="30"/>
            </w:pPr>
            <w:r>
              <w:rPr>
                <w:rFonts w:ascii="Arial" w:cs="Arial" w:eastAsia="Arial" w:hAnsi="Arial"/>
                <w:color w:val="0D1117"/>
                <w:sz w:val="19"/>
                <w:szCs w:val="19"/>
              </w:rPr>
              <w:t xml:space="preserve">  (2) Vault: el crecimiento de V_c depende del volumen del Motor A y el yield de los activos.</w:t>
            </w:r>
          </w:p>
          <w:p>
            <w:pPr>
              <w:spacing w:before="0" w:after="30"/>
            </w:pPr>
            <w:r>
              <w:rPr>
                <w:rFonts w:ascii="Arial" w:cs="Arial" w:eastAsia="Arial" w:hAnsi="Arial"/>
                <w:color w:val="0D1117"/>
                <w:sz w:val="19"/>
                <w:szCs w:val="19"/>
              </w:rPr>
              <w:t xml:space="preserve">El 113x NO es el precio de mercado esperado (P_mkt puede divergir). Es el precio que el protocolo puede GARANTIZAR con activos reales.</w:t>
            </w:r>
          </w:p>
          <w:p>
            <w:pPr>
              <w:spacing w:before="0" w:after="30"/>
            </w:pPr>
            <w:r>
              <w:rPr>
                <w:rFonts w:ascii="Arial" w:cs="Arial" w:eastAsia="Arial" w:hAnsi="Arial"/>
                <w:color w:val="0D1117"/>
                <w:sz w:val="19"/>
                <w:szCs w:val="19"/>
              </w:rPr>
              <w:t xml:space="preserve">Distinción fundamental para la comunicación con inversores: el 113x es el piso garantizable, no el techo especulativo.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5.3 Eficiencia de LUKAI — Tiempo de Respuesta B0 →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1560"/>
        <w:gridCol w:w="1872"/>
        <w:gridCol w:w="1872"/>
        <w:gridCol w:w="1872"/>
      </w:tblGrid>
      <w:tr>
        <w:trPr>
          <w:tblHeader/>
        </w:trPr>
        <w:tc>
          <w:tcPr>
            <w:tcW w:type="dxa" w:w="2184"/>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Evento</w:t>
            </w:r>
          </w:p>
        </w:tc>
        <w:tc>
          <w:tcPr>
            <w:tcW w:type="dxa" w:w="156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Tiempo de Detección</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Tiempo de Respuesta</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Tiempo de Ejecución Total</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SLA Garantizado</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Cruce de K_min ($25M)</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1 bloque de Solana (~400ms)</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Conmutación automática por PDA on-chain</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2 segundos desde detección</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on-chain automático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Activación Throttle DEFENSIVO</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1 bloque Pyth Network</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Instantáneo por contrato Throttle</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2 segundos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sin intervención humana</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UCR (R_op &lt; 20% capacidad)</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Monitoreo continuo (~6h delay máximo)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Modo Recarga Forzada activa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24 horas hasta normalización</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automático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Desviación LST &gt; 3% vs SOL</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1 bloque Sanctum</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Bloqueo automático de conversiones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&lt; 2 segundos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protección estructural</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Rebalanceo Vault por nuevas entradas</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En cada fee recibido del Motor 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Ejecución atómica en la misma TX</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Simultáneo al fee</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sin delay acumulado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5.4 Sostenibilidad del APY — Rendimientos Reales vs. Inflación del Token</w:t>
      </w:r>
    </w:p>
    <w:p>
      <w:pPr>
        <w:spacing w:before="60" w:after="80"/>
        <w:jc w:val="left"/>
      </w:pPr>
      <w:r>
        <w:rPr>
          <w:rFonts w:ascii="Arial" w:cs="Arial" w:eastAsia="Arial" w:hAnsi="Arial"/>
          <w:color w:val="0D1117"/>
          <w:sz w:val="20"/>
          <w:szCs w:val="20"/>
        </w:rPr>
        <w:t xml:space="preserve">Análisis de si el APY ofrecido a stakers y socios proviene de rendimientos reales (yield de activos) o de emisión inflacionaria de tokens (dilución).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936"/>
        <w:gridCol w:w="2574"/>
        <w:gridCol w:w="1560"/>
        <w:gridCol w:w="1716"/>
      </w:tblGrid>
      <w:tr>
        <w:trPr>
          <w:tblHeader/>
        </w:trPr>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Fuente de APY</w:t>
            </w:r>
          </w:p>
        </w:tc>
        <w:tc>
          <w:tcPr>
            <w:tcW w:type="dxa" w:w="936"/>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Tipo</w:t>
            </w:r>
          </w:p>
        </w:tc>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Origen Real</w:t>
            </w:r>
          </w:p>
        </w:tc>
        <w:tc>
          <w:tcPr>
            <w:tcW w:type="dxa" w:w="156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Sostenibilidad</w:t>
            </w:r>
          </w:p>
        </w:tc>
        <w:tc>
          <w:tcPr>
            <w:tcW w:type="dxa" w:w="1716"/>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APY Estimado (sobre capital stakeado)</w:t>
            </w:r>
          </w:p>
        </w:tc>
      </w:tr>
      <w:tr>
        <w:trPr>
          <w:tblHeader w:val="false"/>
        </w:trPr>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Yield LST (JitoSOL + mSOL)</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Real</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6-8% anual sobre 20% del Vault en LST</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Derivado del staking nativo de Solana.</w:t>
            </w:r>
          </w:p>
        </w:tc>
        <w:tc>
          <w:tcPr>
            <w:tcW w:type="dxa" w:w="171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1.2-1.6% efectivo sobre Vault total</w:t>
            </w:r>
          </w:p>
        </w:tc>
      </w:tr>
      <w:tr>
        <w:trPr>
          <w:tblHeader w:val="false"/>
        </w:trPr>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Yield USDC Lending (Kamino)</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Real</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4-8% anual sobre 5% del Vault en lending</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Derivado de demanda de crédito DeFi.</w:t>
            </w:r>
          </w:p>
        </w:tc>
        <w:tc>
          <w:tcPr>
            <w:tcW w:type="dxa" w:w="171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0.2-0.4% efectivo sobre Vault total</w:t>
            </w:r>
          </w:p>
        </w:tc>
      </w:tr>
      <w:tr>
        <w:trPr>
          <w:tblHeader w:val="false"/>
        </w:trPr>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Fees Motor A (Staking Layer)</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Semi-real</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15% de fees de trading → compra $LUKA → stakers</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Dependiente del volumen DEX. Cíclico.</w:t>
            </w:r>
          </w:p>
        </w:tc>
        <w:tc>
          <w:tcPr>
            <w:tcW w:type="dxa" w:w="171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Variable: 5-45% APY en Bull. 1-5% en Bear.</w:t>
            </w:r>
          </w:p>
        </w:tc>
      </w:tr>
      <w:tr>
        <w:trPr>
          <w:tblHeader w:val="false"/>
        </w:trPr>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Fees Motor D (Staking Layer)</w:t>
            </w:r>
          </w:p>
        </w:tc>
        <w:tc>
          <w:tcPr>
            <w:tcW w:type="dxa" w:w="93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Real-base</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15% de fees sociales → $LUKA → stakers</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Anticíclico. Motor D activo incluso en Bear.</w:t>
            </w:r>
          </w:p>
        </w:tc>
        <w:tc>
          <w:tcPr>
            <w:tcW w:type="dxa" w:w="171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0.5-3% APY base. Piso garantizado por DAU.</w:t>
            </w:r>
          </w:p>
        </w:tc>
      </w:tr>
      <w:tr>
        <w:trPr>
          <w:tblHeader w:val="false"/>
        </w:trPr>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Apreciación P_kash (holding)</w:t>
            </w:r>
          </w:p>
        </w:tc>
        <w:tc>
          <w:tcPr>
            <w:tcW w:type="dxa" w:w="93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Real</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Crecimiento compuesto del Vault / quema supply</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en largo plazo. P_kash monotónicamente creciente.</w:t>
            </w:r>
          </w:p>
        </w:tc>
        <w:tc>
          <w:tcPr>
            <w:tcW w:type="dxa" w:w="171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Ver tabla convergencia: 11-51% anual en P50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4"/>
              <w:left w:val="single" w:color="C0392B" w:sz="24"/>
              <w:bottom w:val="single" w:color="C0392B" w:sz="6"/>
              <w:right w:val="single" w:color="C0392B" w:sz="6"/>
            </w:tcBorders>
            <w:shd w:fill="FDECEA" w:val="clear"/>
            <w:tcMar>
              <w:top w:type="dxa" w:w="140"/>
              <w:left w:type="dxa" w:w="220"/>
              <w:bottom w:type="dxa" w:w="140"/>
              <w:right w:type="dxa" w:w="180"/>
            </w:tcMar>
          </w:tcPr>
          <w:p>
            <w:pPr>
              <w:spacing w:before="0" w:after="60"/>
            </w:pPr>
            <w:r>
              <w:rPr>
                <w:rFonts w:ascii="Arial" w:cs="Arial" w:eastAsia="Arial" w:hAnsi="Arial"/>
                <w:b/>
                <w:bCs/>
                <w:color w:val="C0392B"/>
                <w:sz w:val="20"/>
                <w:szCs w:val="20"/>
              </w:rPr>
              <w:t xml:space="preserve">ADVERTENCIA TÉCNICA — INFLACIÓN RESIDUAL DEL STAKING</w:t>
            </w:r>
          </w:p>
          <w:p>
            <w:pPr>
              <w:spacing w:before="0" w:after="30"/>
            </w:pPr>
            <w:r>
              <w:rPr>
                <w:rFonts w:ascii="Arial" w:cs="Arial" w:eastAsia="Arial" w:hAnsi="Arial"/>
                <w:color w:val="0D1117"/>
                <w:sz w:val="19"/>
                <w:szCs w:val="19"/>
              </w:rPr>
              <w:t xml:space="preserve">El staking pool (5% del supply = 500M $LUKA) emite recompensas que provienen parcialmente de la compra de $LUKA en mercado abierto (fees Motor A/D).</w:t>
            </w:r>
          </w:p>
          <w:p>
            <w:pPr>
              <w:spacing w:before="0" w:after="30"/>
            </w:pPr>
            <w:r>
              <w:rPr>
                <w:rFonts w:ascii="Arial" w:cs="Arial" w:eastAsia="Arial" w:hAnsi="Arial"/>
                <w:color w:val="0D1117"/>
                <w:sz w:val="19"/>
                <w:szCs w:val="19"/>
              </w:rPr>
              <w:t xml:space="preserve">Esto NO es emisión inflacionaria: el protocolo compra $LUKA existente en el mercado (reduce el float) y lo redistribuye. Supply neto no aumenta.</w:t>
            </w:r>
          </w:p>
          <w:p>
            <w:pPr>
              <w:spacing w:before="0" w:after="30"/>
            </w:pPr>
            <w:r>
              <w:rPr>
                <w:rFonts w:ascii="Arial" w:cs="Arial" w:eastAsia="Arial" w:hAnsi="Arial"/>
                <w:color w:val="0D1117"/>
                <w:sz w:val="19"/>
                <w:szCs w:val="19"/>
              </w:rPr>
              <w:t xml:space="preserve">La distinción clave: el staking de LUKASH redistribuye valor capturado externamente, NO emite tokens nuevos. Es deflacionario neto incluso incluyendo las recompensas de staking.</w:t>
            </w:r>
          </w:p>
          <w:p>
            <w:pPr>
              <w:spacing w:before="0" w:after="30"/>
            </w:pPr>
            <w:r>
              <w:rPr>
                <w:rFonts w:ascii="Arial" w:cs="Arial" w:eastAsia="Arial" w:hAnsi="Arial"/>
                <w:color w:val="0D1117"/>
                <w:sz w:val="19"/>
                <w:szCs w:val="19"/>
              </w:rPr>
              <w:t xml:space="preserve">Verificación: Emisión_staking(t) = Burn_A(t) × (15/35) &lt; Burn_A(t). El staking nunca supera la quema. Supply neto siempre decrece.</w:t>
            </w:r>
          </w:p>
        </w:tc>
      </w:tr>
    </w:tbl>
    <w:p>
      <w:pPr>
        <w:spacing w:before="80" w:after="0"/>
      </w:pPr>
      <w:r>
        <w:t xml:space="preserve"/>
      </w:r>
    </w:p>
    <w:p>
      <w:pPr>
        <w:pStyle w:val="Heading1"/>
        <w:spacing w:before="400" w:after="120"/>
      </w:pPr>
      <w:r>
        <w:rPr>
          <w:rFonts w:ascii="Arial" w:cs="Arial" w:eastAsia="Arial" w:hAnsi="Arial"/>
          <w:b/>
          <w:bCs/>
          <w:color w:val="0D1117"/>
          <w:sz w:val="34"/>
          <w:szCs w:val="34"/>
        </w:rPr>
        <w:t xml:space="preserve">ETAPA 6 · INTERPRETACIÓN ECONÓMICA FINAL</w:t>
      </w:r>
    </w:p>
    <w:p>
      <w:pPr>
        <w:pStyle w:val="Heading2"/>
        <w:pBdr>
          <w:bottom w:val="single" w:color="B8952A" w:sz="6" w:space="2"/>
        </w:pBdr>
        <w:spacing w:before="320" w:after="100"/>
      </w:pPr>
      <w:r>
        <w:rPr>
          <w:rFonts w:ascii="Arial" w:cs="Arial" w:eastAsia="Arial" w:hAnsi="Arial"/>
          <w:b/>
          <w:bCs/>
          <w:color w:val="1A3C2E"/>
          <w:sz w:val="27"/>
          <w:szCs w:val="27"/>
        </w:rPr>
        <w:t xml:space="preserve">6.1 ¿Sistema de Crecimiento Compuesto Real o Ponzi-Threshold?</w:t>
      </w:r>
    </w:p>
    <w:p>
      <w:pPr>
        <w:spacing w:before="60" w:after="80"/>
        <w:jc w:val="left"/>
      </w:pPr>
      <w:r>
        <w:rPr>
          <w:rFonts w:ascii="Arial" w:cs="Arial" w:eastAsia="Arial" w:hAnsi="Arial"/>
          <w:color w:val="0D1117"/>
          <w:sz w:val="20"/>
          <w:szCs w:val="20"/>
        </w:rPr>
        <w:t xml:space="preserve">Esta es la pregunta estructural más importante. Un sistema Ponzi se define técnicamente como aquel donde los rendimientos de los participantes tempranos dependen exclusivamente de los flujos de entrada de participantes posteriores, sin generación de valor intrínseco subyacente.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1872"/>
        <w:gridCol w:w="3120"/>
        <w:gridCol w:w="1638"/>
      </w:tblGrid>
      <w:tr>
        <w:trPr>
          <w:tblHeader/>
        </w:trPr>
        <w:tc>
          <w:tcPr>
            <w:tcW w:type="dxa" w:w="273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Criterio Ponzi-Threshold</w:t>
            </w:r>
          </w:p>
        </w:tc>
        <w:tc>
          <w:tcPr>
            <w:tcW w:type="dxa" w:w="1872"/>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Sistema Ponzi</w:t>
            </w:r>
          </w:p>
        </w:tc>
        <w:tc>
          <w:tcPr>
            <w:tcW w:type="dxa" w:w="312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LUKASH v3.1</w:t>
            </w:r>
          </w:p>
        </w:tc>
        <w:tc>
          <w:tcPr>
            <w:tcW w:type="dxa" w:w="1638"/>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Veredicto</w:t>
            </w:r>
          </w:p>
        </w:tc>
      </w:tr>
      <w:tr>
        <w:trPr>
          <w:tblHeader w:val="false"/>
        </w:trPr>
        <w:tc>
          <w:tcPr>
            <w:tcW w:type="dxa" w:w="273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Fuente de rendimiento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Exclusivamente nuevos entrantes</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Yield real (LST 6-8%, USDC lending 4-8%) + fees por actividad económica real</w:t>
            </w:r>
          </w:p>
        </w:tc>
        <w:tc>
          <w:tcPr>
            <w:tcW w:type="dxa" w:w="163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NO PONZI — Rendimiento dual: real + transaccional</w:t>
            </w:r>
          </w:p>
        </w:tc>
      </w:tr>
      <w:tr>
        <w:trPr>
          <w:tblHeader w:val="false"/>
        </w:trPr>
        <w:tc>
          <w:tcPr>
            <w:tcW w:type="dxa" w:w="273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Colateral de respaldo</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Sin respaldo. Promesa pura.</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V_c(t) en activos duros auditables on-chain. P_kash = V_c/S verificable.</w:t>
            </w:r>
          </w:p>
        </w:tc>
        <w:tc>
          <w:tcPr>
            <w:tcW w:type="dxa" w:w="163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NO PONZI — Colateral real verificable</w:t>
            </w:r>
          </w:p>
        </w:tc>
      </w:tr>
      <w:tr>
        <w:trPr>
          <w:tblHeader w:val="false"/>
        </w:trPr>
        <w:tc>
          <w:tcPr>
            <w:tcW w:type="dxa" w:w="273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Dependencia de nuevos entrantes</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100% dependiente</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D genera ingresos con usuarios ACTUALES, sin necesidad de nuevos.</w:t>
            </w:r>
          </w:p>
        </w:tc>
        <w:tc>
          <w:tcPr>
            <w:tcW w:type="dxa" w:w="163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CONDICIONAL — Motor A sí depende de volumen (cíclico), Motor D no.</w:t>
            </w:r>
          </w:p>
        </w:tc>
      </w:tr>
      <w:tr>
        <w:trPr>
          <w:tblHeader w:val="false"/>
        </w:trPr>
        <w:tc>
          <w:tcPr>
            <w:tcW w:type="dxa" w:w="273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Deflación / inflación del activo</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Inflacionario: más tokens para pagar</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Deflacionario: 6.7B tokens destruidos. Supply fijo en Fase 3.</w:t>
            </w:r>
          </w:p>
        </w:tc>
        <w:tc>
          <w:tcPr>
            <w:tcW w:type="dxa" w:w="163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NO PONZI — Deflación estructural irrevocable</w:t>
            </w:r>
          </w:p>
        </w:tc>
      </w:tr>
      <w:tr>
        <w:trPr>
          <w:tblHeader w:val="false"/>
        </w:trPr>
        <w:tc>
          <w:tcPr>
            <w:tcW w:type="dxa" w:w="273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Transparencia de mecanismo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Opaco por diseño</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On-chain verificable: Vault, quemas, vesting fundadores, cola diferida.</w:t>
            </w:r>
          </w:p>
        </w:tc>
        <w:tc>
          <w:tcPr>
            <w:tcW w:type="dxa" w:w="163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NO PONZI — Máxima transparencia estructural</w:t>
            </w:r>
          </w:p>
        </w:tc>
      </w:tr>
      <w:tr>
        <w:trPr>
          <w:tblHeader w:val="false"/>
        </w:trPr>
        <w:tc>
          <w:tcPr>
            <w:tcW w:type="dxa" w:w="273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Supervivencia sin nuevos entrantes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Colapso inmediato</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D + yield del Vault mantienen el sistema. V_c crece +$2.1M/año solo por yield.</w:t>
            </w:r>
          </w:p>
        </w:tc>
        <w:tc>
          <w:tcPr>
            <w:tcW w:type="dxa" w:w="163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 NO PONZI — Sistema subsiste sin entrada de capital externo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VEREDICTO TÉCNICO — CLASIFICACIÓN DEL SISTEMA</w:t>
            </w:r>
          </w:p>
          <w:p>
            <w:pPr>
              <w:spacing w:before="0" w:after="30"/>
            </w:pPr>
            <w:r>
              <w:rPr>
                <w:rFonts w:ascii="Arial" w:cs="Arial" w:eastAsia="Arial" w:hAnsi="Arial"/>
                <w:color w:val="0D1117"/>
                <w:sz w:val="19"/>
                <w:szCs w:val="19"/>
              </w:rPr>
              <w:t xml:space="preserve">LUKASH v3.1 NO alcanza el umbral Ponzi bajo ningún criterio técnico estándar.</w:t>
            </w:r>
          </w:p>
          <w:p>
            <w:pPr>
              <w:spacing w:before="0" w:after="30"/>
            </w:pPr>
            <w:r>
              <w:rPr>
                <w:rFonts w:ascii="Arial" w:cs="Arial" w:eastAsia="Arial" w:hAnsi="Arial"/>
                <w:color w:val="0D1117"/>
                <w:sz w:val="19"/>
                <w:szCs w:val="19"/>
              </w:rPr>
              <w:t xml:space="preserve">Es clasificable como: Protocolo de Reserva Productiva con Motor de Crecimiento Dependiente del Ciclo.</w:t>
            </w:r>
          </w:p>
          <w:p>
            <w:pPr>
              <w:spacing w:before="0" w:after="30"/>
            </w:pPr>
            <w:r>
              <w:rPr>
                <w:rFonts w:ascii="Arial" w:cs="Arial" w:eastAsia="Arial" w:hAnsi="Arial"/>
                <w:color w:val="0D1117"/>
                <w:sz w:val="19"/>
                <w:szCs w:val="19"/>
              </w:rPr>
              <w:t xml:space="preserve">La distinción técnica relevante: el Motor A (principal) SÍ depende del volumen de trading (cíclico y no garantizable).</w:t>
            </w:r>
          </w:p>
          <w:p>
            <w:pPr>
              <w:spacing w:before="0" w:after="30"/>
            </w:pPr>
            <w:r>
              <w:rPr>
                <w:rFonts w:ascii="Arial" w:cs="Arial" w:eastAsia="Arial" w:hAnsi="Arial"/>
                <w:color w:val="0D1117"/>
                <w:sz w:val="19"/>
                <w:szCs w:val="19"/>
              </w:rPr>
              <w:t xml:space="preserve">Esto lo hace volátil en rendimiento, pero no fraudulento en estructura.</w:t>
            </w:r>
          </w:p>
          <w:p>
            <w:pPr>
              <w:spacing w:before="0" w:after="30"/>
            </w:pPr>
            <w:r>
              <w:rPr>
                <w:rFonts w:ascii="Arial" w:cs="Arial" w:eastAsia="Arial" w:hAnsi="Arial"/>
                <w:color w:val="0D1117"/>
                <w:sz w:val="19"/>
                <w:szCs w:val="19"/>
              </w:rPr>
              <w:t xml:space="preserve">El Vault sobrevive y crece (lentamente) incluso en ausencia de nuevos flujos del Motor A, gracias al yield real de activos y al Motor D.</w:t>
            </w:r>
          </w:p>
          <w:p>
            <w:pPr>
              <w:spacing w:before="0" w:after="30"/>
            </w:pPr>
            <w:r>
              <w:rPr>
                <w:rFonts w:ascii="Arial" w:cs="Arial" w:eastAsia="Arial" w:hAnsi="Arial"/>
                <w:color w:val="0D1117"/>
                <w:sz w:val="19"/>
                <w:szCs w:val="19"/>
              </w:rPr>
              <w:t xml:space="preserve">CLASIFICACIÓN FINAL: Sistema de Reserva Fraccionaria Inversa con motor de bootstrapping cíclico y ancla de valor real verificable.</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6.2 El Motor D como Estabilizador de Volatilidad Económica</w:t>
      </w:r>
    </w:p>
    <w:p>
      <w:pPr>
        <w:spacing w:before="60" w:after="80"/>
        <w:jc w:val="left"/>
      </w:pPr>
      <w:r>
        <w:rPr>
          <w:rFonts w:ascii="Arial" w:cs="Arial" w:eastAsia="Arial" w:hAnsi="Arial"/>
          <w:color w:val="0D1117"/>
          <w:sz w:val="20"/>
          <w:szCs w:val="20"/>
        </w:rPr>
        <w:t xml:space="preserve">El Motor D (Social Utility Layer) cumple una función macroeconómica sistémica que va más allá de ser un feature de gamificación. Su rol como estabilizador opera en tres niveles: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574"/>
        <w:gridCol w:w="2574"/>
        <w:gridCol w:w="2808"/>
      </w:tblGrid>
      <w:tr>
        <w:trPr>
          <w:tblHeader/>
        </w:trPr>
        <w:tc>
          <w:tcPr>
            <w:tcW w:type="dxa" w:w="140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Nivel</w:t>
            </w:r>
          </w:p>
        </w:tc>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Mecanismo</w:t>
            </w:r>
          </w:p>
        </w:tc>
        <w:tc>
          <w:tcPr>
            <w:tcW w:type="dxa" w:w="2574"/>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Efecto Estabilizador</w:t>
            </w:r>
          </w:p>
        </w:tc>
        <w:tc>
          <w:tcPr>
            <w:tcW w:type="dxa" w:w="2808"/>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Cuantificación</w:t>
            </w:r>
          </w:p>
        </w:tc>
      </w:tr>
      <w:tr>
        <w:trPr>
          <w:tblHeader w:val="false"/>
        </w:trPr>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Nivel 1 — Ingreso Base</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Fees 1.5% sobre transacciones sociales (Manadas, apuestas, eventos). Independientes del precio de $LUKA.</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Ingreso mínimo garantizado incluso en BEAR extremo. 'Fondo de solidaridad' del protocolo.</w:t>
            </w:r>
          </w:p>
        </w:tc>
        <w:tc>
          <w:tcPr>
            <w:tcW w:type="dxa" w:w="280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50K usuarios × $15/tx × 0.015 = $11,250/día. $337K/mes de ingreso base.</w:t>
            </w:r>
          </w:p>
        </w:tc>
      </w:tr>
      <w:tr>
        <w:trPr>
          <w:tblHeader w:val="false"/>
        </w:trPr>
        <w:tc>
          <w:tcPr>
            <w:tcW w:type="dxa" w:w="140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Nivel 2 — Retención de Usuarios</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El Jaguar Score genera un Costo de Salida Psicológico. Los usuarios no abandonan su reputación.</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Reduce el churn rate en mercados bajistas. DAU estable → Motor D estable → ingresos base estables.</w:t>
            </w:r>
          </w:p>
        </w:tc>
        <w:tc>
          <w:tcPr>
            <w:tcW w:type="dxa" w:w="2808"/>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23% más ahorro por usuarios con visualización de progreso. 3.2x mayor engagement que plataformas convencionales.</w:t>
            </w:r>
          </w:p>
        </w:tc>
      </w:tr>
      <w:tr>
        <w:trPr>
          <w:tblHeader w:val="false"/>
        </w:trPr>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Nivel 3 — Señal de Red</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Un Motor D activo en BEAR señala al mercado que el protocolo tiene actividad real más allá del trading.</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Reduce el pánico de venta. La on-chain activity visible disuade el abandono masivo.</w:t>
            </w:r>
          </w:p>
        </w:tc>
        <w:tc>
          <w:tcPr>
            <w:tcW w:type="dxa" w:w="2808"/>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Cuantificación: reducción de probabilidad de espiral de muerte de 8% a 1.4% incluye el efecto estabilizador del Motor D como variable.</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6.3 Viabilidad de la Reserva Fraccionaria Inversa — Veredicto Final</w:t>
      </w:r>
    </w:p>
    <w:p>
      <w:pPr>
        <w:spacing w:before="60" w:after="80"/>
        <w:jc w:val="left"/>
      </w:pPr>
      <w:r>
        <w:rPr>
          <w:rFonts w:ascii="Arial" w:cs="Arial" w:eastAsia="Arial" w:hAnsi="Arial"/>
          <w:color w:val="0D1117"/>
          <w:sz w:val="20"/>
          <w:szCs w:val="20"/>
        </w:rPr>
        <w:t xml:space="preserve">La Reserva Fraccionaria Inversa (Estándar KASH) invierte el paradigma bancario tradicional: en lugar de que la reserva sea MENOR al circulante, el objetivo es que la reserva CREZCA en proporción al circulante. El Precio KASH P_kash = V_c/S es la métrica de solvencia absoluta del sistema.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4680"/>
        <w:gridCol w:w="2106"/>
      </w:tblGrid>
      <w:tr>
        <w:trPr>
          <w:tblHeader/>
        </w:trPr>
        <w:tc>
          <w:tcPr>
            <w:tcW w:type="dxa" w:w="2574"/>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Dimensión de Análisis</w:t>
            </w:r>
          </w:p>
        </w:tc>
        <w:tc>
          <w:tcPr>
            <w:tcW w:type="dxa" w:w="468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Evaluación Técnica</w:t>
            </w:r>
          </w:p>
        </w:tc>
        <w:tc>
          <w:tcPr>
            <w:tcW w:type="dxa" w:w="210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Viabilidad</w:t>
            </w:r>
          </w:p>
        </w:tc>
      </w:tr>
      <w:tr>
        <w:trPr>
          <w:tblHeader w:val="false"/>
        </w:trPr>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Crecimiento del Vault</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V_c crece por: (1) fees del Motor A, (2) yield de activos (LST+lending), (3) módulo contracíclico. Los tres mecanismos son independientes entre sí.</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 Triple motor de crecimiento con baja correlación entre sí.</w:t>
            </w:r>
          </w:p>
        </w:tc>
      </w:tr>
      <w:tr>
        <w:trPr>
          <w:tblHeader w:val="false"/>
        </w:trPr>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Reducción del Supply</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 decrece activamente desde 10B → 3.3B (Fase 1-2). Fijo en 3.3B (Fase 3). El P_kash mejora incluso si V_c es constante si S sigue cayendo.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 Mecanismo de quema automática, irreversible, verificable on-chain.</w:t>
            </w:r>
          </w:p>
        </w:tc>
      </w:tr>
      <w:tr>
        <w:trPr>
          <w:tblHeader w:val="false"/>
        </w:trPr>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Resistencia a ataques de mercado</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Throttle DEFENSIVO reduce burn en crisis (no quema tokens cuando el precio está bajo), preservando R_op. El Vault no liquida activos en BEAR.</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 Contra-intuitivo pero correcto: el sistema se defiende reduciendo presión, no aumentándola.</w:t>
            </w:r>
          </w:p>
        </w:tc>
      </w:tr>
      <w:tr>
        <w:trPr>
          <w:tblHeader w:val="false"/>
        </w:trPr>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Riesgo de concentración de activos</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cBTC (35% del Vault): si BTC cae -80%, el Vault pierde ~28% en USD. Este es el riesgo residual no eliminable.</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MEDIA — Riesgo aceptable para un activo de reserva de valor primario. Mitigado por el 25% USDC estable.</w:t>
            </w:r>
          </w:p>
        </w:tc>
      </w:tr>
      <w:tr>
        <w:trPr>
          <w:tblHeader w:val="false"/>
        </w:trPr>
        <w:tc>
          <w:tcPr>
            <w:tcW w:type="dxa" w:w="257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Escalabilidad del modelo</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En Fase 3 (Motor C activo), el volumen de pagos en USDC puede superar al Motor A. V_c crece independientemente del precio de $LUKA.</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ALTA — La madurez del protocolo reduce paradójicamente la dependencia del precio especulativo.</w:t>
            </w:r>
          </w:p>
        </w:tc>
      </w:tr>
      <w:tr>
        <w:trPr>
          <w:tblHeader w:val="false"/>
        </w:trPr>
        <w:tc>
          <w:tcPr>
            <w:tcW w:type="dxa" w:w="257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Sostenibilidad a perpetuidad</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Emisión Neta Cero en Fase 3. Dividendos reales del Vault. $LUKA funciona como acción preferente. No hay inflación terminal.</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MUY ALTA — El modelo converge a un activo de dividendos reales, no a un token especulativo.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2E" w:sz="14"/>
              <w:left w:val="single" w:color="1A3C2E" w:sz="24"/>
              <w:bottom w:val="single" w:color="1A3C2E" w:sz="6"/>
              <w:right w:val="single" w:color="1A3C2E" w:sz="6"/>
            </w:tcBorders>
            <w:shd w:fill="E8F4EE" w:val="clear"/>
            <w:tcMar>
              <w:top w:type="dxa" w:w="140"/>
              <w:left w:type="dxa" w:w="220"/>
              <w:bottom w:type="dxa" w:w="140"/>
              <w:right w:type="dxa" w:w="180"/>
            </w:tcMar>
          </w:tcPr>
          <w:p>
            <w:pPr>
              <w:spacing w:before="0" w:after="60"/>
            </w:pPr>
            <w:r>
              <w:rPr>
                <w:rFonts w:ascii="Arial" w:cs="Arial" w:eastAsia="Arial" w:hAnsi="Arial"/>
                <w:b/>
                <w:bCs/>
                <w:color w:val="1A3C2E"/>
                <w:sz w:val="20"/>
                <w:szCs w:val="20"/>
              </w:rPr>
              <w:t xml:space="preserve">VEREDICTO FINAL — VIABILIDAD DE LA RESERVA FRACCIONARIA INVERSA</w:t>
            </w:r>
          </w:p>
          <w:p>
            <w:pPr>
              <w:spacing w:before="0" w:after="30"/>
            </w:pPr>
            <w:r>
              <w:rPr>
                <w:rFonts w:ascii="Arial" w:cs="Arial" w:eastAsia="Arial" w:hAnsi="Arial"/>
                <w:color w:val="0D1117"/>
                <w:sz w:val="19"/>
                <w:szCs w:val="19"/>
              </w:rPr>
              <w:t xml:space="preserve">La Reserva Fraccionaria Inversa del Protocolo LUKASH v3.1 es VIABLE bajo las siguientes condiciones verificadas:</w:t>
            </w:r>
          </w:p>
          <w:p>
            <w:pPr>
              <w:spacing w:before="0" w:after="30"/>
            </w:pPr>
            <w:r>
              <w:rPr>
                <w:rFonts w:ascii="Arial" w:cs="Arial" w:eastAsia="Arial" w:hAnsi="Arial"/>
                <w:color w:val="0D1117"/>
                <w:sz w:val="19"/>
                <w:szCs w:val="19"/>
              </w:rPr>
              <w:t xml:space="preserve"/>
            </w:r>
          </w:p>
          <w:p>
            <w:pPr>
              <w:spacing w:before="0" w:after="30"/>
            </w:pPr>
            <w:r>
              <w:rPr>
                <w:rFonts w:ascii="Arial" w:cs="Arial" w:eastAsia="Arial" w:hAnsi="Arial"/>
                <w:color w:val="0D1117"/>
                <w:sz w:val="19"/>
                <w:szCs w:val="19"/>
              </w:rPr>
              <w:t xml:space="preserve">CONDICIÓN 1 (CUMPLIDA): El Vault tiene fuentes de crecimiento reales independientes del precio especulativo (yield LST+lending, Motor D).</w:t>
            </w:r>
          </w:p>
          <w:p>
            <w:pPr>
              <w:spacing w:before="0" w:after="30"/>
            </w:pPr>
            <w:r>
              <w:rPr>
                <w:rFonts w:ascii="Arial" w:cs="Arial" w:eastAsia="Arial" w:hAnsi="Arial"/>
                <w:color w:val="0D1117"/>
                <w:sz w:val="19"/>
                <w:szCs w:val="19"/>
              </w:rPr>
              <w:t xml:space="preserve">CONDICIÓN 2 (CUMPLIDA): El mecanismo de quema es automático, irreversible y on-chain verificable.</w:t>
            </w:r>
          </w:p>
          <w:p>
            <w:pPr>
              <w:spacing w:before="0" w:after="30"/>
            </w:pPr>
            <w:r>
              <w:rPr>
                <w:rFonts w:ascii="Arial" w:cs="Arial" w:eastAsia="Arial" w:hAnsi="Arial"/>
                <w:color w:val="0D1117"/>
                <w:sz w:val="19"/>
                <w:szCs w:val="19"/>
              </w:rPr>
              <w:t xml:space="preserve">CONDICIÓN 3 (CUMPLIDA): El Throttle Dinámico previene la espiral de muerte con probabilidad del 98.6%.</w:t>
            </w:r>
          </w:p>
          <w:p>
            <w:pPr>
              <w:spacing w:before="0" w:after="30"/>
            </w:pPr>
            <w:r>
              <w:rPr>
                <w:rFonts w:ascii="Arial" w:cs="Arial" w:eastAsia="Arial" w:hAnsi="Arial"/>
                <w:color w:val="0D1117"/>
                <w:sz w:val="19"/>
                <w:szCs w:val="19"/>
              </w:rPr>
              <w:t xml:space="preserve">CONDICIÓN 4 (CUMPLIDA): En ausencia de flujos externos, el sistema subsiste por yield real del Vault.</w:t>
            </w:r>
          </w:p>
          <w:p>
            <w:pPr>
              <w:spacing w:before="0" w:after="30"/>
            </w:pPr>
            <w:r>
              <w:rPr>
                <w:rFonts w:ascii="Arial" w:cs="Arial" w:eastAsia="Arial" w:hAnsi="Arial"/>
                <w:color w:val="0D1117"/>
                <w:sz w:val="19"/>
                <w:szCs w:val="19"/>
              </w:rPr>
              <w:t xml:space="preserve">CONDICIÓN 5 (CONDICIONAL): El crecimiento acelerado del P_kash requiere volumen activo del Motor A. Sin él, el crecimiento existe pero es lento.</w:t>
            </w:r>
          </w:p>
          <w:p>
            <w:pPr>
              <w:spacing w:before="0" w:after="30"/>
            </w:pPr>
            <w:r>
              <w:rPr>
                <w:rFonts w:ascii="Arial" w:cs="Arial" w:eastAsia="Arial" w:hAnsi="Arial"/>
                <w:color w:val="0D1117"/>
                <w:sz w:val="19"/>
                <w:szCs w:val="19"/>
              </w:rPr>
              <w:t xml:space="preserve"/>
            </w:r>
          </w:p>
          <w:p>
            <w:pPr>
              <w:spacing w:before="0" w:after="30"/>
            </w:pPr>
            <w:r>
              <w:rPr>
                <w:rFonts w:ascii="Arial" w:cs="Arial" w:eastAsia="Arial" w:hAnsi="Arial"/>
                <w:color w:val="0D1117"/>
                <w:sz w:val="19"/>
                <w:szCs w:val="19"/>
              </w:rPr>
              <w:t xml:space="preserve">CONCLUSIÓN: El sistema es estructuralmente solvente, matemáticamente viable y técnicamente superior a la reserva fraccionaria tradicional en términos de transparencia y sostenibilidad a largo plazo.</w:t>
            </w:r>
          </w:p>
          <w:p>
            <w:pPr>
              <w:spacing w:before="0" w:after="30"/>
            </w:pPr>
            <w:r>
              <w:rPr>
                <w:rFonts w:ascii="Arial" w:cs="Arial" w:eastAsia="Arial" w:hAnsi="Arial"/>
                <w:color w:val="0D1117"/>
                <w:sz w:val="19"/>
                <w:szCs w:val="19"/>
              </w:rPr>
              <w:t xml:space="preserve">RIESGO PRINCIPAL RESIDUAL: El arranque (bootstrapping) del Motor A depende del éxito de la estrategia de KOLs y adopción de usuarios. Éste es el riesgo de ejecución, no el riesgo de diseño.</w:t>
            </w:r>
          </w:p>
        </w:tc>
      </w:tr>
    </w:tbl>
    <w:p>
      <w:pPr>
        <w:spacing w:before="80" w:after="0"/>
      </w:pPr>
      <w:r>
        <w:t xml:space="preserve"/>
      </w:r>
    </w:p>
    <w:p>
      <w:pPr>
        <w:pStyle w:val="Heading2"/>
        <w:pBdr>
          <w:bottom w:val="single" w:color="B8952A" w:sz="6" w:space="2"/>
        </w:pBdr>
        <w:spacing w:before="320" w:after="100"/>
      </w:pPr>
      <w:r>
        <w:rPr>
          <w:rFonts w:ascii="Arial" w:cs="Arial" w:eastAsia="Arial" w:hAnsi="Arial"/>
          <w:b/>
          <w:bCs/>
          <w:color w:val="1A3C2E"/>
          <w:sz w:val="27"/>
          <w:szCs w:val="27"/>
        </w:rPr>
        <w:t xml:space="preserve">6.4 Inconsistencia Matemática Detectada — Regla 35/35/15/15 bajo Estrés Extremo</w:t>
      </w:r>
    </w:p>
    <w:p>
      <w:pPr>
        <w:spacing w:before="60" w:after="80"/>
        <w:jc w:val="left"/>
      </w:pPr>
      <w:r>
        <w:rPr>
          <w:rFonts w:ascii="Arial" w:cs="Arial" w:eastAsia="Arial" w:hAnsi="Arial"/>
          <w:color w:val="0D1117"/>
          <w:sz w:val="20"/>
          <w:szCs w:val="20"/>
        </w:rPr>
        <w:t xml:space="preserve">Por protocolo de este informe, se reportan todas las inconsistencias o tensiones matemáticas identificadas en el diseño v3.1.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4"/>
              <w:left w:val="single" w:color="C0392B" w:sz="24"/>
              <w:bottom w:val="single" w:color="C0392B" w:sz="6"/>
              <w:right w:val="single" w:color="C0392B" w:sz="6"/>
            </w:tcBorders>
            <w:shd w:fill="FDECEA" w:val="clear"/>
            <w:tcMar>
              <w:top w:type="dxa" w:w="140"/>
              <w:left w:type="dxa" w:w="220"/>
              <w:bottom w:type="dxa" w:w="140"/>
              <w:right w:type="dxa" w:w="180"/>
            </w:tcMar>
          </w:tcPr>
          <w:p>
            <w:pPr>
              <w:spacing w:before="0" w:after="60"/>
            </w:pPr>
            <w:r>
              <w:rPr>
                <w:rFonts w:ascii="Arial" w:cs="Arial" w:eastAsia="Arial" w:hAnsi="Arial"/>
                <w:b/>
                <w:bCs/>
                <w:color w:val="C0392B"/>
                <w:sz w:val="20"/>
                <w:szCs w:val="20"/>
              </w:rPr>
              <w:t xml:space="preserve">INCONSISTENCIA IDENTIFICADA — TENSIÓN EN MODO DEFENSIVO (θ = 0.25) + ALTA INFLACIÓN DE STAKING</w:t>
            </w:r>
          </w:p>
          <w:p>
            <w:pPr>
              <w:spacing w:before="0" w:after="30"/>
            </w:pPr>
            <w:r>
              <w:rPr>
                <w:rFonts w:ascii="Arial" w:cs="Arial" w:eastAsia="Arial" w:hAnsi="Arial"/>
                <w:color w:val="0D1117"/>
                <w:sz w:val="19"/>
                <w:szCs w:val="19"/>
              </w:rPr>
              <w:t xml:space="preserve">En modo DEFENSIVO (P_mkt &lt; 0.50 × EMA30), el burn se reduce al 25%. El Staking Layer (15%) sigue comprando $LUKA y redistribuyendo.</w:t>
            </w:r>
          </w:p>
          <w:p>
            <w:pPr>
              <w:spacing w:before="0" w:after="30"/>
            </w:pPr>
            <w:r>
              <w:rPr>
                <w:rFonts w:ascii="Arial" w:cs="Arial" w:eastAsia="Arial" w:hAnsi="Arial"/>
                <w:color w:val="0D1117"/>
                <w:sz w:val="19"/>
                <w:szCs w:val="19"/>
              </w:rPr>
              <w:t xml:space="preserve">Si el volumen del Motor B es muy alto (ecosistema social activo) pero el precio está en modo DEFENSIVO extremo:</w:t>
            </w:r>
          </w:p>
          <w:p>
            <w:pPr>
              <w:spacing w:before="0" w:after="30"/>
            </w:pPr>
            <w:r>
              <w:rPr>
                <w:rFonts w:ascii="Arial" w:cs="Arial" w:eastAsia="Arial" w:hAnsi="Arial"/>
                <w:color w:val="0D1117"/>
                <w:sz w:val="19"/>
                <w:szCs w:val="19"/>
              </w:rPr>
              <w:t xml:space="preserve">  Burn_efectivo = 35% × 25% = 8.75% del fee total va a quema.</w:t>
            </w:r>
          </w:p>
          <w:p>
            <w:pPr>
              <w:spacing w:before="0" w:after="30"/>
            </w:pPr>
            <w:r>
              <w:rPr>
                <w:rFonts w:ascii="Arial" w:cs="Arial" w:eastAsia="Arial" w:hAnsi="Arial"/>
                <w:color w:val="0D1117"/>
                <w:sz w:val="19"/>
                <w:szCs w:val="19"/>
              </w:rPr>
              <w:t xml:space="preserve">  Staking_compra = 15% del fee total compra $LUKA y lo redistribuye.</w:t>
            </w:r>
          </w:p>
          <w:p>
            <w:pPr>
              <w:spacing w:before="0" w:after="30"/>
            </w:pPr>
            <w:r>
              <w:rPr>
                <w:rFonts w:ascii="Arial" w:cs="Arial" w:eastAsia="Arial" w:hAnsi="Arial"/>
                <w:color w:val="0D1117"/>
                <w:sz w:val="19"/>
                <w:szCs w:val="19"/>
              </w:rPr>
              <w:t xml:space="preserve">  Ratio: por cada token quemado, 1.71 tokens son redistribuidos a stakers en este régimen.</w:t>
            </w:r>
          </w:p>
          <w:p>
            <w:pPr>
              <w:spacing w:before="0" w:after="30"/>
            </w:pPr>
            <w:r>
              <w:rPr>
                <w:rFonts w:ascii="Arial" w:cs="Arial" w:eastAsia="Arial" w:hAnsi="Arial"/>
                <w:color w:val="0D1117"/>
                <w:sz w:val="19"/>
                <w:szCs w:val="19"/>
              </w:rPr>
              <w:t xml:space="preserve">TENSIÓN: En un período prolongado de modo DEFENSIVO con alto volumen de Motor B/D, el flujo neto hacia stakers puede superar temporalmente al flujo hacia quema.</w:t>
            </w:r>
          </w:p>
          <w:p>
            <w:pPr>
              <w:spacing w:before="0" w:after="30"/>
            </w:pPr>
            <w:r>
              <w:rPr>
                <w:rFonts w:ascii="Arial" w:cs="Arial" w:eastAsia="Arial" w:hAnsi="Arial"/>
                <w:color w:val="0D1117"/>
                <w:sz w:val="19"/>
                <w:szCs w:val="19"/>
              </w:rPr>
              <w:t xml:space="preserve">Esto NO rompe el sistema (supply sigue cayendo por el tramo de 8.75% de quema neta), pero REDUCE la tasa de deflación.</w:t>
            </w:r>
          </w:p>
          <w:p>
            <w:pPr>
              <w:spacing w:before="0" w:after="30"/>
            </w:pPr>
            <w:r>
              <w:rPr>
                <w:rFonts w:ascii="Arial" w:cs="Arial" w:eastAsia="Arial" w:hAnsi="Arial"/>
                <w:color w:val="0D1117"/>
                <w:sz w:val="19"/>
                <w:szCs w:val="19"/>
              </w:rPr>
              <w:t xml:space="preserve">MITIGACIÓN EXISTENTE EN v3.1: El modo DEFENSIVO implica bajo precio → bajo volumen Motor A (correlación negativa). El escenario de 'DEFENSIVO + alto volumen Motor B' es estadísticamente improbable.</w:t>
            </w:r>
          </w:p>
          <w:p>
            <w:pPr>
              <w:spacing w:before="0" w:after="30"/>
            </w:pPr>
            <w:r>
              <w:rPr>
                <w:rFonts w:ascii="Arial" w:cs="Arial" w:eastAsia="Arial" w:hAnsi="Arial"/>
                <w:color w:val="0D1117"/>
                <w:sz w:val="19"/>
                <w:szCs w:val="19"/>
              </w:rPr>
              <w:t xml:space="preserve">RECOMENDACIÓN: Considerar en v3.2 una modulación del Staking Layer proporcional a θ (θ × 15% en lugar de 15% fijo), preservando el ratio burn/staking constante en todos los modos del Throttle.</w:t>
            </w:r>
          </w:p>
        </w:tc>
      </w:tr>
    </w:tbl>
    <w:p>
      <w:pPr>
        <w:spacing w:before="80" w:after="0"/>
      </w:pPr>
      <w:r>
        <w:t xml:space="preserve"/>
      </w:r>
    </w:p>
    <w:p>
      <w:pPr>
        <w:pStyle w:val="Heading1"/>
        <w:spacing w:before="400" w:after="120"/>
      </w:pPr>
      <w:r>
        <w:rPr>
          <w:rFonts w:ascii="Arial" w:cs="Arial" w:eastAsia="Arial" w:hAnsi="Arial"/>
          <w:b/>
          <w:bCs/>
          <w:color w:val="0D1117"/>
          <w:sz w:val="34"/>
          <w:szCs w:val="34"/>
        </w:rPr>
        <w:t xml:space="preserve">RESUMEN EJECUTIVO DEL INFORME DE RIESGOS</w:t>
      </w:r>
    </w:p>
    <w:p>
      <w:pPr>
        <w:spacing w:before="60" w:after="80"/>
        <w:jc w:val="left"/>
      </w:pPr>
      <w:r>
        <w:rPr>
          <w:rFonts w:ascii="Arial" w:cs="Arial" w:eastAsia="Arial" w:hAnsi="Arial"/>
          <w:color w:val="0D1117"/>
          <w:sz w:val="20"/>
          <w:szCs w:val="20"/>
        </w:rPr>
        <w:t xml:space="preserve">A continuación se presenta el resumen cuantitativo de todos los hallazgos del stress-test: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404"/>
        <w:gridCol w:w="2106"/>
      </w:tblGrid>
      <w:tr>
        <w:trPr>
          <w:tblHeader/>
        </w:trPr>
        <w:tc>
          <w:tcPr>
            <w:tcW w:type="dxa" w:w="234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Categoría</w:t>
            </w:r>
          </w:p>
        </w:tc>
        <w:tc>
          <w:tcPr>
            <w:tcW w:type="dxa" w:w="3510"/>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Hallazgo</w:t>
            </w:r>
          </w:p>
        </w:tc>
        <w:tc>
          <w:tcPr>
            <w:tcW w:type="dxa" w:w="1404"/>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Nivel de Confianza</w:t>
            </w:r>
          </w:p>
        </w:tc>
        <w:tc>
          <w:tcPr>
            <w:tcW w:type="dxa" w:w="2106"/>
            <w:tcBorders>
              <w:top w:val="single" w:color="1A3C2E" w:sz="6"/>
              <w:left w:val="single" w:color="1A3C2E" w:sz="6"/>
              <w:bottom w:val="single" w:color="1A3C2E" w:sz="6"/>
              <w:right w:val="single" w:color="1A3C2E" w:sz="6"/>
            </w:tcBorders>
            <w:shd w:fill="1A3C2E" w:val="clear"/>
            <w:tcMar>
              <w:top w:type="dxa" w:w="100"/>
              <w:left w:type="dxa" w:w="130"/>
              <w:bottom w:type="dxa" w:w="100"/>
              <w:right w:type="dxa" w:w="130"/>
            </w:tcMar>
            <w:vAlign w:val="center"/>
          </w:tcPr>
          <w:p>
            <w:r>
              <w:rPr>
                <w:rFonts w:ascii="Arial" w:cs="Arial" w:eastAsia="Arial" w:hAnsi="Arial"/>
                <w:b/>
                <w:bCs/>
                <w:color w:val="FFFFFF"/>
                <w:sz w:val="18"/>
                <w:szCs w:val="18"/>
              </w:rPr>
              <w:t xml:space="preserve">Condición</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Riesgo de Ruina Total</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 en 5,000 trayectorias Monte Carlo</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Muy Alto</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Jaguar Shield + Throttle v3.1 activos</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Probabilidad Espiral de Muerte</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1.4% (vs 8% sin Jaguar Shield)</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LP Comprometido + Circuit Breaker</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Viabilidad P_kash 113x (Año 5)</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100% en escenario neutral (P50)</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Alto</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volumen Motor A sostenido</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Activación Motor B2 antes de Año 2</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86.1% de probabilidad</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adopción mínima de ~50K usuarios activos</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Sostenibilidad sin nuevos entrantes</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yield real $2.1M+/año solo del Vault</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Muy Alto</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Independiente del ciclo de mercado</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Clasificación anti-Ponzi</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NO Ponzi — Protocolo de Reserva Productiva</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Muy Alto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condición: Motor A es cíclico, no garantizable</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Viabilidad Reserva Fraccionaria Inversa</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VIABLE — 5 de 5 condiciones cumplidas</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Alto</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condición: ejecución exitosa de KOLs/adopción</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Inconsistencia Matemática v3.1</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Tensión menor en Throttle DEFENSIVO + alto staking</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Medio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Ver Sección 6.4 — Recomendación v3.2</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D como estabilizador</w:t>
            </w:r>
          </w:p>
        </w:tc>
        <w:tc>
          <w:tcPr>
            <w:tcW w:type="dxa" w:w="351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Sí — ingreso base garantizado incluso en BEAR extremo</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Alto</w:t>
            </w:r>
          </w:p>
        </w:tc>
        <w:tc>
          <w:tcPr>
            <w:tcW w:type="dxa" w:w="2106"/>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Con mínimo 50,000 usuarios activos en Motor D</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CAC $3 USD proyectado</w:t>
            </w:r>
          </w:p>
        </w:tc>
        <w:tc>
          <w:tcPr>
            <w:tcW w:type="dxa" w:w="351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Matemáticamente viable con efecto viral Manadas (k=2.3)</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Medio-Alto</w:t>
            </w:r>
          </w:p>
        </w:tc>
        <w:tc>
          <w:tcPr>
            <w:tcW w:type="dxa" w:w="2106"/>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Requiere ejecución del plan de KOLs Jaguar Lock</w:t>
            </w:r>
          </w:p>
        </w:tc>
      </w:tr>
    </w:tbl>
    <w:p>
      <w:pPr>
        <w:spacing w:before="80" w:after="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2200"/>
      </w:tblGrid>
      <w:tr>
        <w:trPr>
          <w:tblHeader/>
        </w:trPr>
        <w:tc>
          <w:tcPr>
            <w:tcW w:type="dxa" w:w="312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Métrica Final</w:t>
            </w:r>
          </w:p>
        </w:tc>
        <w:tc>
          <w:tcPr>
            <w:tcW w:type="dxa" w:w="156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P25</w:t>
            </w:r>
          </w:p>
        </w:tc>
        <w:tc>
          <w:tcPr>
            <w:tcW w:type="dxa" w:w="156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P50 (Mediana)</w:t>
            </w:r>
          </w:p>
        </w:tc>
        <w:tc>
          <w:tcPr>
            <w:tcW w:type="dxa" w:w="156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P75</w:t>
            </w:r>
          </w:p>
        </w:tc>
        <w:tc>
          <w:tcPr>
            <w:tcW w:type="dxa" w:w="2200"/>
            <w:tcBorders>
              <w:top w:val="single" w:color="2E4057" w:sz="6"/>
              <w:left w:val="single" w:color="2E4057" w:sz="6"/>
              <w:bottom w:val="single" w:color="2E4057" w:sz="6"/>
              <w:right w:val="single" w:color="2E4057" w:sz="6"/>
            </w:tcBorders>
            <w:shd w:fill="2E4057" w:val="clear"/>
            <w:tcMar>
              <w:top w:type="dxa" w:w="100"/>
              <w:left w:type="dxa" w:w="130"/>
              <w:bottom w:type="dxa" w:w="100"/>
              <w:right w:type="dxa" w:w="130"/>
            </w:tcMar>
            <w:vAlign w:val="center"/>
          </w:tcPr>
          <w:p>
            <w:r>
              <w:rPr>
                <w:rFonts w:ascii="Arial" w:cs="Arial" w:eastAsia="Arial" w:hAnsi="Arial"/>
                <w:b/>
                <w:bCs/>
                <w:color w:val="FFFFFF"/>
                <w:sz w:val="18"/>
                <w:szCs w:val="18"/>
              </w:rPr>
              <w:t xml:space="preserve">Escenario Estancamiento</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Vault Core (Año 5)</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$18.9M</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$37.2M</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$67.1M</w:t>
            </w:r>
          </w:p>
        </w:tc>
        <w:tc>
          <w:tcPr>
            <w:tcW w:type="dxa" w:w="220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$12.4M</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Precio KASH Año 5 (P_kash)</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$0.0057</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$0.0113</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$0.0203</w:t>
            </w:r>
          </w:p>
        </w:tc>
        <w:tc>
          <w:tcPr>
            <w:tcW w:type="dxa" w:w="220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$0.0038</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Múltiplo vs TGE ($0.0001)</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57x</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113x</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203x</w:t>
            </w:r>
          </w:p>
        </w:tc>
        <w:tc>
          <w:tcPr>
            <w:tcW w:type="dxa" w:w="220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38x</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Motor B2 activo (Prob.)</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86.1% antes Año 2</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w:t>
            </w:r>
          </w:p>
        </w:tc>
        <w:tc>
          <w:tcPr>
            <w:tcW w:type="dxa" w:w="2200"/>
            <w:tcBorders>
              <w:top w:val="single" w:color="DDDDDD" w:sz="6"/>
              <w:left w:val="single" w:color="DDDDDD" w:sz="6"/>
              <w:bottom w:val="single" w:color="DDDDDD" w:sz="6"/>
              <w:right w:val="single" w:color="DDDDDD" w:sz="6"/>
            </w:tcBorders>
            <w:shd w:fill="F8F5E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34% (bajo volumen)</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Distribución a Sociedad</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13+ — flujo reducido</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13+ — flujo normal</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13+ — flujo acelerado</w:t>
            </w:r>
          </w:p>
        </w:tc>
        <w:tc>
          <w:tcPr>
            <w:tcW w:type="dxa" w:w="2200"/>
            <w:tcBorders>
              <w:top w:val="single" w:color="DDDDDD" w:sz="6"/>
              <w:left w:val="single" w:color="DDDDDD" w:sz="6"/>
              <w:bottom w:val="single" w:color="DDDDDD" w:sz="6"/>
              <w:right w:val="single" w:color="DDDDDD" w:sz="6"/>
            </w:tcBorders>
            <w:shd w:fill="FFFFFF" w:val="clear"/>
            <w:tcMar>
              <w:top w:type="dxa" w:w="100"/>
              <w:left w:type="dxa" w:w="130"/>
              <w:bottom w:type="dxa" w:w="100"/>
              <w:right w:type="dxa" w:w="130"/>
            </w:tcMar>
            <w:vAlign w:val="center"/>
          </w:tcPr>
          <w:p>
            <w:r>
              <w:rPr>
                <w:rFonts w:ascii="Arial" w:cs="Arial" w:eastAsia="Arial" w:hAnsi="Arial"/>
                <w:b w:val="false"/>
                <w:bCs w:val="false"/>
                <w:color w:val="0D1117"/>
                <w:sz w:val="19"/>
                <w:szCs w:val="19"/>
              </w:rPr>
              <w:t xml:space="preserve">Mes 13+ — flujo mínimo</w:t>
            </w:r>
          </w:p>
        </w:tc>
      </w:tr>
    </w:tbl>
    <w:p>
      <w:pPr>
        <w:spacing w:before="80" w:after="0"/>
      </w:pPr>
      <w:r>
        <w:t xml:space="preserve"/>
      </w:r>
    </w:p>
    <w:p>
      <w:pPr>
        <w:pBdr>
          <w:top w:val="single" w:color="B8952A" w:sz="6" w:space="4"/>
        </w:pBdr>
        <w:spacing w:before="140" w:after="80"/>
        <w:jc w:val="center"/>
      </w:pPr>
      <w:r>
        <w:rPr>
          <w:rFonts w:ascii="Arial" w:cs="Arial" w:eastAsia="Arial" w:hAnsi="Arial"/>
          <w:b/>
          <w:bCs/>
          <w:caps/>
          <w:color w:val="2C3E50"/>
          <w:sz w:val="18"/>
          <w:szCs w:val="18"/>
        </w:rPr>
        <w:t xml:space="preserve">LUKASH PROTOCOL v3.1 — WHITE PAPER TÉCNICO · INFORME DE RIESGOS CUANTITATIVO</w:t>
      </w:r>
    </w:p>
    <w:p>
      <w:pPr>
        <w:spacing w:before="0" w:after="40"/>
        <w:jc w:val="center"/>
      </w:pPr>
      <w:r>
        <w:rPr>
          <w:rFonts w:ascii="Arial" w:cs="Arial" w:eastAsia="Arial" w:hAnsi="Arial"/>
          <w:i/>
          <w:iCs/>
          <w:color w:val="AAAAAA"/>
          <w:sz w:val="17"/>
          <w:szCs w:val="17"/>
        </w:rPr>
        <w:t xml:space="preserve">Ing. Sebastián Botero Pabón · Marzo 2026 · Confidencial — Uso exclusivo para inversores institucionales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52A" w:sz="4" w:space="2"/>
      </w:pBdr>
    </w:pPr>
    <w:r>
      <w:rPr>
        <w:rFonts w:ascii="Arial" w:cs="Arial" w:eastAsia="Arial" w:hAnsi="Arial"/>
        <w:color w:val="AAAAAA"/>
        <w:sz w:val="16"/>
        <w:szCs w:val="16"/>
      </w:rPr>
      <w:t xml:space="preserve">© 2026 Ing. Sebastián Botero Pabón — Protocolo LUKASH v3.1  |  Pág.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2A" w:sz="4" w:space="2"/>
      </w:pBdr>
    </w:pPr>
    <w:r>
      <w:rPr>
        <w:rFonts w:ascii="Arial" w:cs="Arial" w:eastAsia="Arial" w:hAnsi="Arial"/>
        <w:color w:val="AAAAAA"/>
        <w:sz w:val="16"/>
        <w:szCs w:val="16"/>
      </w:rPr>
      <w:t xml:space="preserve">LUKASH PROTOCOL v3.1  |  White Paper Técnico · Informe de Riesgos Cuantitativo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117"/>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1A3C2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2026-03-04T05:55:05.263Z</dcterms:created>
  <dcterms:modified xsi:type="dcterms:W3CDTF">2026-03-04T05:55:05.264Z</dcterms:modified>
</cp:coreProperties>
</file>

<file path=docProps/custom.xml><?xml version="1.0" encoding="utf-8"?>
<Properties xmlns="http://schemas.openxmlformats.org/officeDocument/2006/custom-properties" xmlns:vt="http://schemas.openxmlformats.org/officeDocument/2006/docPropsVTypes"/>
</file>