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D7ACE8" w14:textId="77777777" w:rsidR="00214322" w:rsidRDefault="00214322">
      <w:pPr>
        <w:spacing w:line="480" w:lineRule="auto"/>
        <w:jc w:val="center"/>
        <w:rPr>
          <w:b/>
          <w:bCs/>
        </w:rPr>
      </w:pPr>
    </w:p>
    <w:p w14:paraId="2837B103" w14:textId="77777777" w:rsidR="00214322" w:rsidRDefault="00214322">
      <w:pPr>
        <w:spacing w:line="480" w:lineRule="auto"/>
        <w:jc w:val="center"/>
        <w:rPr>
          <w:b/>
          <w:bCs/>
        </w:rPr>
      </w:pPr>
    </w:p>
    <w:p w14:paraId="239DEBB8" w14:textId="77777777" w:rsidR="00214322" w:rsidRDefault="00214322">
      <w:pPr>
        <w:spacing w:line="480" w:lineRule="auto"/>
        <w:jc w:val="center"/>
        <w:rPr>
          <w:b/>
          <w:bCs/>
        </w:rPr>
      </w:pPr>
    </w:p>
    <w:p w14:paraId="595B2144" w14:textId="77777777" w:rsidR="00214322" w:rsidRDefault="00214322">
      <w:pPr>
        <w:spacing w:line="480" w:lineRule="auto"/>
        <w:jc w:val="center"/>
        <w:rPr>
          <w:b/>
          <w:bCs/>
        </w:rPr>
      </w:pPr>
    </w:p>
    <w:p w14:paraId="6D8729EC" w14:textId="77777777" w:rsidR="00214322" w:rsidRDefault="00214322">
      <w:pPr>
        <w:spacing w:line="480" w:lineRule="auto"/>
        <w:jc w:val="center"/>
        <w:rPr>
          <w:b/>
          <w:bCs/>
        </w:rPr>
      </w:pPr>
    </w:p>
    <w:p w14:paraId="08CC84C0" w14:textId="77777777" w:rsidR="00214322" w:rsidRDefault="00214322">
      <w:pPr>
        <w:spacing w:line="480" w:lineRule="auto"/>
        <w:jc w:val="center"/>
        <w:rPr>
          <w:b/>
          <w:bCs/>
        </w:rPr>
      </w:pPr>
    </w:p>
    <w:p w14:paraId="0146F137" w14:textId="77777777" w:rsidR="00214322" w:rsidRDefault="00214322">
      <w:pPr>
        <w:spacing w:line="480" w:lineRule="auto"/>
        <w:jc w:val="center"/>
        <w:rPr>
          <w:b/>
          <w:bCs/>
        </w:rPr>
      </w:pPr>
    </w:p>
    <w:p w14:paraId="3C17AC13" w14:textId="77777777" w:rsidR="00214322" w:rsidRDefault="00214322">
      <w:pPr>
        <w:spacing w:line="480" w:lineRule="auto"/>
        <w:jc w:val="center"/>
        <w:rPr>
          <w:b/>
          <w:bCs/>
        </w:rPr>
      </w:pPr>
    </w:p>
    <w:p w14:paraId="5D69921D" w14:textId="19A07791" w:rsidR="00A7189F" w:rsidRDefault="00000000">
      <w:pPr>
        <w:spacing w:line="480" w:lineRule="auto"/>
        <w:jc w:val="center"/>
      </w:pPr>
      <w:r>
        <w:rPr>
          <w:b/>
          <w:bCs/>
        </w:rPr>
        <w:t>Informe de síntesis y reflexiones: pruebas unitarias de los servicios de contacto, tareas y citas</w:t>
      </w:r>
    </w:p>
    <w:p w14:paraId="36174B70" w14:textId="77777777" w:rsidR="00A7189F" w:rsidRDefault="00000000">
      <w:pPr>
        <w:spacing w:line="480" w:lineRule="auto"/>
        <w:jc w:val="center"/>
      </w:pPr>
      <w:r>
        <w:t>David de la Cruz Contreras</w:t>
      </w:r>
    </w:p>
    <w:p w14:paraId="36B5C68E" w14:textId="77777777" w:rsidR="00A7189F" w:rsidRDefault="00000000">
      <w:pPr>
        <w:spacing w:line="480" w:lineRule="auto"/>
        <w:jc w:val="center"/>
      </w:pPr>
      <w:r>
        <w:t>Southern New Hampshire University</w:t>
      </w:r>
    </w:p>
    <w:p w14:paraId="768EF845" w14:textId="77777777" w:rsidR="00A7189F" w:rsidRDefault="00000000">
      <w:pPr>
        <w:spacing w:line="480" w:lineRule="auto"/>
        <w:jc w:val="center"/>
      </w:pPr>
      <w:r>
        <w:t>CS-320: Vida del Software – Proyecto final II</w:t>
      </w:r>
    </w:p>
    <w:p w14:paraId="5A19B29D" w14:textId="21A2A66E" w:rsidR="00214322" w:rsidRDefault="00214322">
      <w:pPr>
        <w:spacing w:line="480" w:lineRule="auto"/>
        <w:jc w:val="center"/>
      </w:pPr>
    </w:p>
    <w:p w14:paraId="63B4941A" w14:textId="5D4E32D1" w:rsidR="00214322" w:rsidRDefault="00214322" w:rsidP="00214322">
      <w:r>
        <w:br w:type="page"/>
      </w:r>
    </w:p>
    <w:p w14:paraId="20E4C320" w14:textId="550964D0" w:rsidR="00214322" w:rsidRDefault="00214322" w:rsidP="00214322"/>
    <w:p w14:paraId="12E05252" w14:textId="77777777" w:rsidR="00A7189F" w:rsidRPr="00214322" w:rsidRDefault="00000000" w:rsidP="00214322">
      <w:pPr>
        <w:keepNext/>
        <w:spacing w:line="360" w:lineRule="auto"/>
        <w:jc w:val="center"/>
        <w:rPr>
          <w:sz w:val="28"/>
          <w:szCs w:val="28"/>
        </w:rPr>
      </w:pPr>
      <w:r w:rsidRPr="00214322">
        <w:rPr>
          <w:b/>
          <w:bCs/>
          <w:sz w:val="28"/>
          <w:szCs w:val="28"/>
        </w:rPr>
        <w:t>Resumen</w:t>
      </w:r>
    </w:p>
    <w:p w14:paraId="42C2C1F2" w14:textId="77777777" w:rsidR="00A7189F" w:rsidRDefault="00000000" w:rsidP="00214322">
      <w:pPr>
        <w:keepNext/>
        <w:spacing w:line="360" w:lineRule="auto"/>
        <w:rPr>
          <w:b/>
          <w:bCs/>
        </w:rPr>
      </w:pPr>
      <w:r>
        <w:rPr>
          <w:b/>
          <w:bCs/>
        </w:rPr>
        <w:t>Enfoque de pruebas por función</w:t>
      </w:r>
    </w:p>
    <w:p w14:paraId="181419F3" w14:textId="77777777" w:rsidR="00214322" w:rsidRDefault="00214322" w:rsidP="00214322">
      <w:pPr>
        <w:keepNext/>
        <w:spacing w:line="360" w:lineRule="auto"/>
      </w:pPr>
    </w:p>
    <w:p w14:paraId="4497368F" w14:textId="77777777" w:rsidR="00A7189F" w:rsidRDefault="00000000" w:rsidP="00214322">
      <w:pPr>
        <w:spacing w:line="360" w:lineRule="auto"/>
        <w:ind w:firstLine="720"/>
      </w:pPr>
      <w:r>
        <w:t>En los tres servicios usé el mismo método: tomar cada requisito, dividir las entradas en clases válidas e inválidas y probar los extremos de cada rango. En Contact Service, el teléfono debía tener exactamente 10 dígitos (\d{10}), así que probé 9, 10 y 11 dígitos, además de valores nulos y cadenas con letras o símbolos. En Task Service apliqué lo mismo al nombre (20 caracteres contra 21) y a la descripción (50 contra 51). En Appointment Service agregué las fechas: una nula, una pasada y una futura válida, porque la regla appointmentDate.before(new Date()) debía rechazar las dos primeras. En los tres servicios también comprobé que un ID duplicado, o borrar o actualizar un ID inexistente, lanzara IllegalArgumentException.</w:t>
      </w:r>
    </w:p>
    <w:p w14:paraId="3430B3A1" w14:textId="77777777" w:rsidR="00214322" w:rsidRDefault="00214322">
      <w:pPr>
        <w:keepNext/>
        <w:spacing w:line="480" w:lineRule="auto"/>
        <w:rPr>
          <w:b/>
          <w:bCs/>
        </w:rPr>
      </w:pPr>
    </w:p>
    <w:p w14:paraId="7814D706" w14:textId="34441D9C" w:rsidR="00A7189F" w:rsidRDefault="00000000" w:rsidP="00214322">
      <w:pPr>
        <w:keepNext/>
        <w:spacing w:line="360" w:lineRule="auto"/>
        <w:rPr>
          <w:b/>
          <w:bCs/>
        </w:rPr>
      </w:pPr>
      <w:r>
        <w:rPr>
          <w:b/>
          <w:bCs/>
        </w:rPr>
        <w:t>Adecuación a los requisitos</w:t>
      </w:r>
    </w:p>
    <w:p w14:paraId="36E2409D" w14:textId="77777777" w:rsidR="00214322" w:rsidRDefault="00214322" w:rsidP="00214322">
      <w:pPr>
        <w:keepNext/>
        <w:spacing w:line="360" w:lineRule="auto"/>
      </w:pPr>
    </w:p>
    <w:p w14:paraId="528A0188" w14:textId="77777777" w:rsidR="00A7189F" w:rsidRDefault="00000000" w:rsidP="00214322">
      <w:pPr>
        <w:spacing w:line="360" w:lineRule="auto"/>
        <w:ind w:firstLine="720"/>
      </w:pPr>
      <w:r>
        <w:t>Cada requisito tiene al menos una prueba que lo respalda. Para los identificadores, testBoundaryLengthSuccess confirma que 10 caracteres son aceptados y testTooLongThrowsException confirma que 11 son rechazados. Con esto se descartan errores de comparación como usar &lt; en lugar de &lt;=. Las reglas de "no nulo", "no en el pasado" y "ID único" cuentan con pruebas negativas propias, de modo que ningún requisito quedó sin verificación ejecutable.</w:t>
      </w:r>
    </w:p>
    <w:p w14:paraId="41D6856B" w14:textId="77777777" w:rsidR="00214322" w:rsidRDefault="00214322">
      <w:pPr>
        <w:spacing w:line="480" w:lineRule="auto"/>
        <w:ind w:firstLine="720"/>
      </w:pPr>
    </w:p>
    <w:p w14:paraId="13699E18" w14:textId="77777777" w:rsidR="00A7189F" w:rsidRDefault="00000000" w:rsidP="00214322">
      <w:pPr>
        <w:keepNext/>
        <w:spacing w:line="360" w:lineRule="auto"/>
        <w:rPr>
          <w:b/>
          <w:bCs/>
        </w:rPr>
      </w:pPr>
      <w:r>
        <w:rPr>
          <w:b/>
          <w:bCs/>
        </w:rPr>
        <w:t>Calidad de las pruebas según la cobertura</w:t>
      </w:r>
    </w:p>
    <w:p w14:paraId="1F782C8B" w14:textId="77777777" w:rsidR="00214322" w:rsidRDefault="00214322" w:rsidP="00214322">
      <w:pPr>
        <w:keepNext/>
        <w:spacing w:line="360" w:lineRule="auto"/>
      </w:pPr>
    </w:p>
    <w:p w14:paraId="55E2B078" w14:textId="77777777" w:rsidR="00A7189F" w:rsidRDefault="00000000" w:rsidP="00214322">
      <w:pPr>
        <w:spacing w:line="360" w:lineRule="auto"/>
        <w:ind w:firstLine="720"/>
      </w:pPr>
      <w:r>
        <w:t xml:space="preserve">Medí la cobertura con EclEmma, que se basa en JaCoCo (Mountainminds GmbH &amp; Co. KG, s. f.). Obtuve 100 % de cobertura de líneas en los tres módulos (66/66 en Contact, 43/43 en Task y 43/43 en Appointment), por encima del 80 % que pide el curso, y 100 % de ramas (34/34, 24/24 y 24/24). La cobertura de ramas fue la que más pesó, porque en una condición compuesta como if (appointmentDate == null || appointmentDate.before(new Date())) una sola prueba con null pinta la línea de verde y deja sin ejecutar el segundo operando. Por eso escribí una prueba para cada operando. Aun así, la cobertura solo demuestra que el código se ejecutó. La eficacia </w:t>
      </w:r>
      <w:r>
        <w:lastRenderedPageBreak/>
        <w:t>real depende de que las aserciones sean precisas, y por eso cada prueba verifica un valor o una excepción concretos.</w:t>
      </w:r>
    </w:p>
    <w:p w14:paraId="3251F85B" w14:textId="77777777" w:rsidR="00214322" w:rsidRDefault="00214322" w:rsidP="00214322">
      <w:pPr>
        <w:spacing w:line="360" w:lineRule="auto"/>
        <w:ind w:firstLine="720"/>
      </w:pPr>
    </w:p>
    <w:p w14:paraId="7498DCCF" w14:textId="77777777" w:rsidR="00A7189F" w:rsidRDefault="00000000" w:rsidP="00214322">
      <w:pPr>
        <w:keepNext/>
        <w:spacing w:line="360" w:lineRule="auto"/>
        <w:rPr>
          <w:b/>
          <w:bCs/>
        </w:rPr>
      </w:pPr>
      <w:r>
        <w:rPr>
          <w:b/>
          <w:bCs/>
        </w:rPr>
        <w:t>Experiencia escribiendo las pruebas</w:t>
      </w:r>
    </w:p>
    <w:p w14:paraId="6CE438AD" w14:textId="77777777" w:rsidR="00214322" w:rsidRDefault="00214322" w:rsidP="00214322">
      <w:pPr>
        <w:keepNext/>
        <w:spacing w:line="360" w:lineRule="auto"/>
      </w:pPr>
    </w:p>
    <w:p w14:paraId="275BDCA6" w14:textId="77777777" w:rsidR="00A7189F" w:rsidRDefault="00000000" w:rsidP="00214322">
      <w:pPr>
        <w:spacing w:line="360" w:lineRule="auto"/>
        <w:ind w:firstLine="720"/>
      </w:pPr>
      <w:r>
        <w:t>Escribir las pruebas me obligó a leer los requisitos como especificaciones y no como descripciones generales. Para ser técnicamente sólido, verifiqué tanto el camino exitoso como el fallido. Por ejemplo, assertThrows(IllegalArgumentException.class, () -&gt; service.addAppointment(null)) comprueba que el servicio falla de inmediato antes de alterar su estado. También probé la encapsulación: testGetAppointmentsReturnsUnmodifiableMap usa assertThrows(UnsupportedOperationException.class, ...) para confirmar que el mapa devuelto por Collections.unmodifiableMap() no puede modificarse desde fuera. Para que las pruebas fueran eficientes, un método setUp() con @BeforeEach crea un servicio nuevo antes de cada caso, lo que las mantiene independientes y evita repetir código de preparación (Martin, 2008). Además, en la instanciación exitosa usé assertAll(), que ejecuta todas las verificaciones y reporta todos los fallos juntos en lugar de detenerse en el primero (JUnit Team, s. f.).</w:t>
      </w:r>
    </w:p>
    <w:p w14:paraId="0461900B" w14:textId="77777777" w:rsidR="00214322" w:rsidRDefault="00214322" w:rsidP="00214322">
      <w:pPr>
        <w:keepNext/>
        <w:spacing w:line="360" w:lineRule="auto"/>
        <w:jc w:val="center"/>
        <w:rPr>
          <w:b/>
          <w:bCs/>
        </w:rPr>
      </w:pPr>
    </w:p>
    <w:p w14:paraId="41DBB263" w14:textId="77777777" w:rsidR="00214322" w:rsidRDefault="00214322" w:rsidP="00214322">
      <w:pPr>
        <w:keepNext/>
        <w:spacing w:line="360" w:lineRule="auto"/>
        <w:jc w:val="center"/>
        <w:rPr>
          <w:b/>
          <w:bCs/>
        </w:rPr>
      </w:pPr>
    </w:p>
    <w:p w14:paraId="0A2C91EB" w14:textId="6D35BE8A" w:rsidR="00A7189F" w:rsidRPr="00214322" w:rsidRDefault="00000000" w:rsidP="00214322">
      <w:pPr>
        <w:keepNext/>
        <w:spacing w:line="360" w:lineRule="auto"/>
        <w:jc w:val="center"/>
        <w:rPr>
          <w:sz w:val="28"/>
          <w:szCs w:val="28"/>
        </w:rPr>
      </w:pPr>
      <w:r w:rsidRPr="00214322">
        <w:rPr>
          <w:b/>
          <w:bCs/>
          <w:sz w:val="28"/>
          <w:szCs w:val="28"/>
        </w:rPr>
        <w:t>Reflexión</w:t>
      </w:r>
    </w:p>
    <w:p w14:paraId="6AE68E07" w14:textId="77777777" w:rsidR="00A7189F" w:rsidRDefault="00000000" w:rsidP="00214322">
      <w:pPr>
        <w:keepNext/>
        <w:spacing w:line="360" w:lineRule="auto"/>
        <w:rPr>
          <w:b/>
          <w:bCs/>
        </w:rPr>
      </w:pPr>
      <w:r>
        <w:rPr>
          <w:b/>
          <w:bCs/>
        </w:rPr>
        <w:t>Técnicas de prueba</w:t>
      </w:r>
    </w:p>
    <w:p w14:paraId="467EC11C" w14:textId="77777777" w:rsidR="00214322" w:rsidRDefault="00214322" w:rsidP="00214322">
      <w:pPr>
        <w:keepNext/>
        <w:spacing w:line="360" w:lineRule="auto"/>
      </w:pPr>
    </w:p>
    <w:p w14:paraId="66F79384" w14:textId="42E31C6C" w:rsidR="00214322" w:rsidRDefault="00000000" w:rsidP="00214322">
      <w:pPr>
        <w:spacing w:line="360" w:lineRule="auto"/>
        <w:ind w:firstLine="720"/>
      </w:pPr>
      <w:r>
        <w:t>Utilicé técnicas de caja negra y de caja blanca. De caja negra, partición de equivalencia (clases válidas e inválidas por atributo), análisis de valores límite (n-1, n y n+1) y pruebas de casos negativos. De caja blanca, análisis de cobertura de líneas, ramas y métodos, y la complejidad ciclomática de McCabe (1976), cuyas rutas independientes también quedaron cubiertas (40 en Contact y 26 en Task y Appointment).</w:t>
      </w:r>
    </w:p>
    <w:p w14:paraId="1CDBCBA7" w14:textId="77777777" w:rsidR="00A7189F" w:rsidRDefault="00000000" w:rsidP="00214322">
      <w:pPr>
        <w:spacing w:line="360" w:lineRule="auto"/>
        <w:ind w:firstLine="720"/>
      </w:pPr>
      <w:r>
        <w:t xml:space="preserve">No empleé otras técnicas porque el alcance del proyecto no las requería. Las pruebas de integración verifican que varios módulos funcionen juntos, algo que aquí no hizo falta al ser servicios independientes y en memoria. Las pruebas de mutación introducen pequeños cambios en el código para comprobar si alguna prueba falla, lo que mide la calidad de las aserciones más allá de la cobertura. También quedaron fuera las pruebas de rendimiento, que miden tiempos de </w:t>
      </w:r>
      <w:r>
        <w:lastRenderedPageBreak/>
        <w:t>respuesta con muchos usuarios, las de seguridad, que buscan vulnerabilidades, y las de aceptación, en las que el cliente valida el producto (Ammann y Offutt, 2016).</w:t>
      </w:r>
    </w:p>
    <w:p w14:paraId="37209026" w14:textId="77777777" w:rsidR="00A7189F" w:rsidRDefault="00000000" w:rsidP="00214322">
      <w:pPr>
        <w:spacing w:line="360" w:lineRule="auto"/>
        <w:ind w:firstLine="720"/>
      </w:pPr>
      <w:r>
        <w:t>En la práctica, cada técnica responde a un contexto distinto. En un sistema con base de datos y API, las pruebas de integración son indispensables, pues los defectos suelen aparecer en las interfaces. En una aplicación con alta demanda, las pruebas de rendimiento evitan caídas en producción. En software que maneja datos sensibles, las de seguridad son obligatorias. Y las pruebas de mutación valen la pena cuando el equipo presume de una cobertura alta pero necesita confirmar que las pruebas detectan errores reales.</w:t>
      </w:r>
    </w:p>
    <w:p w14:paraId="7746CA68" w14:textId="77777777" w:rsidR="00A7189F" w:rsidRDefault="00000000" w:rsidP="00214322">
      <w:pPr>
        <w:keepNext/>
        <w:spacing w:line="360" w:lineRule="auto"/>
      </w:pPr>
      <w:r>
        <w:rPr>
          <w:b/>
          <w:bCs/>
        </w:rPr>
        <w:t>Mentalidad</w:t>
      </w:r>
    </w:p>
    <w:p w14:paraId="71CFF85B" w14:textId="77777777" w:rsidR="00A7189F" w:rsidRDefault="00000000" w:rsidP="00214322">
      <w:pPr>
        <w:spacing w:line="360" w:lineRule="auto"/>
        <w:ind w:firstLine="720"/>
      </w:pPr>
      <w:r>
        <w:t>Actué con cautela como evaluador porque entendí que el código no se prueba en pedazos aislados. Appointment valida sus propios datos en el constructor y en los setters, y AppointmentService depende de esa validación, así que un objeto inválido nunca debería llegar al mapa. Si hubiera probado solo el servicio, habría pasado por alto errores en las entidades que luego se manifiestan en el servicio. Esa interrelación explica por qué escribí pruebas separadas para el modelo y para el servicio.</w:t>
      </w:r>
    </w:p>
    <w:p w14:paraId="5277AF92" w14:textId="77777777" w:rsidR="00A7189F" w:rsidRDefault="00000000" w:rsidP="00214322">
      <w:pPr>
        <w:spacing w:line="360" w:lineRule="auto"/>
        <w:ind w:firstLine="720"/>
      </w:pPr>
      <w:r>
        <w:t>Para limitar el sesgo, derivé los casos de prueba de los requisitos y no de mi implementación, y escribí pruebas que intentaban romper el código y no solo confirmarlo. Myers et al. (2011) advierten que es difícil probar el propio programa, pues uno tiende a probar lo que espera que funcione. Sí me imagino que el sesgo sería una preocupación al probar mi propio código, ya que conozco los casos que "sé" que funcionan y puedo omitir los que no se me ocurrieron al programar. Por eso la cobertura de ramas me sirvió como control objetivo, y en un equipo real la revisión de código por otra persona reduciría ese riesgo.</w:t>
      </w:r>
    </w:p>
    <w:p w14:paraId="54975F43" w14:textId="77777777" w:rsidR="00A7189F" w:rsidRDefault="00000000" w:rsidP="00214322">
      <w:pPr>
        <w:spacing w:line="360" w:lineRule="auto"/>
        <w:ind w:firstLine="720"/>
      </w:pPr>
      <w:r>
        <w:t>La disciplina es lo que sostiene la calidad. Escatimar en pruebas o en código genera deuda técnica, es decir, atajos que ahorran tiempo hoy y cobran intereses después (Cunningham, 1992). Un error sin detectar en una validación se vuelve más caro cuando ya otros módulos dependen de él. Para evitar la deuda técnica, escribiré las pruebas junto con el código y no al final, refactorizaré cuando el código se vuelva confuso (Martin, 2008) y seguiré tratando la cobertura como un mínimo y no como una meta, cuidando que las aserciones sean precisas para detectar regresiones cuando los requisitos cambien.</w:t>
      </w:r>
    </w:p>
    <w:p w14:paraId="4E2E6468" w14:textId="77777777" w:rsidR="00A7189F" w:rsidRDefault="00000000" w:rsidP="00214322">
      <w:pPr>
        <w:spacing w:line="360" w:lineRule="auto"/>
      </w:pPr>
      <w:r>
        <w:br w:type="page"/>
      </w:r>
    </w:p>
    <w:p w14:paraId="64CEC62A" w14:textId="77777777" w:rsidR="00A7189F" w:rsidRDefault="00000000">
      <w:pPr>
        <w:keepNext/>
        <w:spacing w:line="480" w:lineRule="auto"/>
        <w:jc w:val="center"/>
      </w:pPr>
      <w:r>
        <w:rPr>
          <w:b/>
          <w:bCs/>
        </w:rPr>
        <w:lastRenderedPageBreak/>
        <w:t>Referencias</w:t>
      </w:r>
    </w:p>
    <w:p w14:paraId="6B953809" w14:textId="77777777" w:rsidR="00A7189F" w:rsidRPr="00214322" w:rsidRDefault="00000000">
      <w:pPr>
        <w:spacing w:line="480" w:lineRule="auto"/>
        <w:ind w:left="720" w:hanging="720"/>
        <w:rPr>
          <w:lang w:val="en-US"/>
        </w:rPr>
      </w:pPr>
      <w:r>
        <w:t xml:space="preserve">Ammann, P., y Offutt, J. (2016). </w:t>
      </w:r>
      <w:r w:rsidRPr="00214322">
        <w:rPr>
          <w:i/>
          <w:iCs/>
          <w:lang w:val="en-US"/>
        </w:rPr>
        <w:t>Introduction to software testing</w:t>
      </w:r>
      <w:r w:rsidRPr="00214322">
        <w:rPr>
          <w:lang w:val="en-US"/>
        </w:rPr>
        <w:t xml:space="preserve"> (2.ª ed.). Cambridge University Press.</w:t>
      </w:r>
    </w:p>
    <w:p w14:paraId="569397FF" w14:textId="77777777" w:rsidR="00A7189F" w:rsidRPr="00214322" w:rsidRDefault="00000000">
      <w:pPr>
        <w:spacing w:line="480" w:lineRule="auto"/>
        <w:ind w:left="720" w:hanging="720"/>
        <w:rPr>
          <w:lang w:val="en-US"/>
        </w:rPr>
      </w:pPr>
      <w:r w:rsidRPr="00214322">
        <w:rPr>
          <w:lang w:val="en-US"/>
        </w:rPr>
        <w:t xml:space="preserve">Cunningham, W. (1992). The </w:t>
      </w:r>
      <w:proofErr w:type="spellStart"/>
      <w:r w:rsidRPr="00214322">
        <w:rPr>
          <w:lang w:val="en-US"/>
        </w:rPr>
        <w:t>WyCash</w:t>
      </w:r>
      <w:proofErr w:type="spellEnd"/>
      <w:r w:rsidRPr="00214322">
        <w:rPr>
          <w:lang w:val="en-US"/>
        </w:rPr>
        <w:t xml:space="preserve"> portfolio management system. En </w:t>
      </w:r>
      <w:r w:rsidRPr="00214322">
        <w:rPr>
          <w:i/>
          <w:iCs/>
          <w:lang w:val="en-US"/>
        </w:rPr>
        <w:t>OOPSLA '92 addendum to the proceedings</w:t>
      </w:r>
      <w:r w:rsidRPr="00214322">
        <w:rPr>
          <w:lang w:val="en-US"/>
        </w:rPr>
        <w:t xml:space="preserve"> (pp. 29–30). ACM.</w:t>
      </w:r>
    </w:p>
    <w:p w14:paraId="773AECAC" w14:textId="77777777" w:rsidR="00A7189F" w:rsidRPr="00214322" w:rsidRDefault="00000000">
      <w:pPr>
        <w:spacing w:line="480" w:lineRule="auto"/>
        <w:ind w:left="720" w:hanging="720"/>
        <w:rPr>
          <w:lang w:val="en-US"/>
        </w:rPr>
      </w:pPr>
      <w:r w:rsidRPr="00214322">
        <w:rPr>
          <w:lang w:val="en-US"/>
        </w:rPr>
        <w:t xml:space="preserve">JUnit Team. (s. f.). </w:t>
      </w:r>
      <w:r w:rsidRPr="00214322">
        <w:rPr>
          <w:i/>
          <w:iCs/>
          <w:lang w:val="en-US"/>
        </w:rPr>
        <w:t>JUnit 5 user guide</w:t>
      </w:r>
      <w:r w:rsidRPr="00214322">
        <w:rPr>
          <w:lang w:val="en-US"/>
        </w:rPr>
        <w:t>. https://junit.org/junit5/docs/current/user-guide/</w:t>
      </w:r>
    </w:p>
    <w:p w14:paraId="2A9676ED" w14:textId="77777777" w:rsidR="00A7189F" w:rsidRPr="00214322" w:rsidRDefault="00000000">
      <w:pPr>
        <w:spacing w:line="480" w:lineRule="auto"/>
        <w:ind w:left="720" w:hanging="720"/>
        <w:rPr>
          <w:lang w:val="en-US"/>
        </w:rPr>
      </w:pPr>
      <w:r w:rsidRPr="00214322">
        <w:rPr>
          <w:lang w:val="en-US"/>
        </w:rPr>
        <w:t xml:space="preserve">Martin, R. C. (2008). </w:t>
      </w:r>
      <w:r w:rsidRPr="00214322">
        <w:rPr>
          <w:i/>
          <w:iCs/>
          <w:lang w:val="en-US"/>
        </w:rPr>
        <w:t>Clean code: A handbook of agile software craftsmanship</w:t>
      </w:r>
      <w:r w:rsidRPr="00214322">
        <w:rPr>
          <w:lang w:val="en-US"/>
        </w:rPr>
        <w:t>. Prentice Hall.</w:t>
      </w:r>
    </w:p>
    <w:p w14:paraId="695D1FE9" w14:textId="77777777" w:rsidR="00A7189F" w:rsidRPr="00214322" w:rsidRDefault="00000000">
      <w:pPr>
        <w:spacing w:line="480" w:lineRule="auto"/>
        <w:ind w:left="720" w:hanging="720"/>
        <w:rPr>
          <w:lang w:val="en-US"/>
        </w:rPr>
      </w:pPr>
      <w:r w:rsidRPr="00214322">
        <w:rPr>
          <w:lang w:val="en-US"/>
        </w:rPr>
        <w:t xml:space="preserve">McCabe, T. J. (1976). A complexity measure. </w:t>
      </w:r>
      <w:r w:rsidRPr="00214322">
        <w:rPr>
          <w:i/>
          <w:iCs/>
          <w:lang w:val="en-US"/>
        </w:rPr>
        <w:t>IEEE Transactions on Software Engineering, SE-2</w:t>
      </w:r>
      <w:r w:rsidRPr="00214322">
        <w:rPr>
          <w:lang w:val="en-US"/>
        </w:rPr>
        <w:t>(4), 308–320.</w:t>
      </w:r>
    </w:p>
    <w:p w14:paraId="349E283A" w14:textId="77777777" w:rsidR="00A7189F" w:rsidRPr="00214322" w:rsidRDefault="00000000">
      <w:pPr>
        <w:spacing w:line="480" w:lineRule="auto"/>
        <w:ind w:left="720" w:hanging="720"/>
        <w:rPr>
          <w:lang w:val="en-US"/>
        </w:rPr>
      </w:pPr>
      <w:proofErr w:type="spellStart"/>
      <w:r w:rsidRPr="00214322">
        <w:rPr>
          <w:lang w:val="en-US"/>
        </w:rPr>
        <w:t>Mountainminds</w:t>
      </w:r>
      <w:proofErr w:type="spellEnd"/>
      <w:r w:rsidRPr="00214322">
        <w:rPr>
          <w:lang w:val="en-US"/>
        </w:rPr>
        <w:t xml:space="preserve"> GmbH &amp; Co. KG y </w:t>
      </w:r>
      <w:proofErr w:type="spellStart"/>
      <w:r w:rsidRPr="00214322">
        <w:rPr>
          <w:lang w:val="en-US"/>
        </w:rPr>
        <w:t>colaboradores</w:t>
      </w:r>
      <w:proofErr w:type="spellEnd"/>
      <w:r w:rsidRPr="00214322">
        <w:rPr>
          <w:lang w:val="en-US"/>
        </w:rPr>
        <w:t xml:space="preserve">. (s. f.). </w:t>
      </w:r>
      <w:proofErr w:type="spellStart"/>
      <w:r w:rsidRPr="00214322">
        <w:rPr>
          <w:i/>
          <w:iCs/>
          <w:lang w:val="en-US"/>
        </w:rPr>
        <w:t>JaCoCo</w:t>
      </w:r>
      <w:proofErr w:type="spellEnd"/>
      <w:r w:rsidRPr="00214322">
        <w:rPr>
          <w:i/>
          <w:iCs/>
          <w:lang w:val="en-US"/>
        </w:rPr>
        <w:t xml:space="preserve"> Java code coverage library</w:t>
      </w:r>
      <w:r w:rsidRPr="00214322">
        <w:rPr>
          <w:lang w:val="en-US"/>
        </w:rPr>
        <w:t>. https://www.jacoco.org/jacoco/</w:t>
      </w:r>
    </w:p>
    <w:p w14:paraId="327A1934" w14:textId="77777777" w:rsidR="00A7189F" w:rsidRDefault="00000000">
      <w:pPr>
        <w:spacing w:line="480" w:lineRule="auto"/>
        <w:ind w:left="720" w:hanging="720"/>
      </w:pPr>
      <w:r w:rsidRPr="00214322">
        <w:rPr>
          <w:lang w:val="en-US"/>
        </w:rPr>
        <w:t xml:space="preserve">Myers, G. J., Sandler, C., y Badgett, T. (2011). </w:t>
      </w:r>
      <w:r w:rsidRPr="00214322">
        <w:rPr>
          <w:i/>
          <w:iCs/>
          <w:lang w:val="en-US"/>
        </w:rPr>
        <w:t>The art of software testing</w:t>
      </w:r>
      <w:r w:rsidRPr="00214322">
        <w:rPr>
          <w:lang w:val="en-US"/>
        </w:rPr>
        <w:t xml:space="preserve"> (3.ª ed.). </w:t>
      </w:r>
      <w:r>
        <w:t>John Wiley &amp; Sons.</w:t>
      </w:r>
    </w:p>
    <w:sectPr w:rsidR="00A7189F">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5F2A95" w14:textId="77777777" w:rsidR="002E79F2" w:rsidRDefault="002E79F2">
      <w:r>
        <w:separator/>
      </w:r>
    </w:p>
  </w:endnote>
  <w:endnote w:type="continuationSeparator" w:id="0">
    <w:p w14:paraId="42EB9F94" w14:textId="77777777" w:rsidR="002E79F2" w:rsidRDefault="002E7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E8737B" w14:textId="77777777" w:rsidR="002E79F2" w:rsidRDefault="002E79F2">
      <w:r>
        <w:separator/>
      </w:r>
    </w:p>
  </w:footnote>
  <w:footnote w:type="continuationSeparator" w:id="0">
    <w:p w14:paraId="1002371A" w14:textId="77777777" w:rsidR="002E79F2" w:rsidRDefault="002E7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4A686D" w14:textId="77777777" w:rsidR="00A7189F" w:rsidRDefault="00000000">
    <w:pPr>
      <w:jc w:val="right"/>
    </w:pPr>
    <w:r>
      <w:fldChar w:fldCharType="begin"/>
    </w:r>
    <w:r>
      <w:instrText>PAGE</w:instrText>
    </w:r>
    <w:r>
      <w:fldChar w:fldCharType="separate"/>
    </w:r>
    <w:r w:rsidR="0021432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C67540"/>
    <w:multiLevelType w:val="hybridMultilevel"/>
    <w:tmpl w:val="E662F558"/>
    <w:lvl w:ilvl="0" w:tplc="DF4E5BE6">
      <w:start w:val="1"/>
      <w:numFmt w:val="bullet"/>
      <w:lvlText w:val="●"/>
      <w:lvlJc w:val="left"/>
      <w:pPr>
        <w:ind w:left="720" w:hanging="360"/>
      </w:pPr>
    </w:lvl>
    <w:lvl w:ilvl="1" w:tplc="1A465B36">
      <w:start w:val="1"/>
      <w:numFmt w:val="bullet"/>
      <w:lvlText w:val="○"/>
      <w:lvlJc w:val="left"/>
      <w:pPr>
        <w:ind w:left="1440" w:hanging="360"/>
      </w:pPr>
    </w:lvl>
    <w:lvl w:ilvl="2" w:tplc="AD868BD2">
      <w:start w:val="1"/>
      <w:numFmt w:val="bullet"/>
      <w:lvlText w:val="■"/>
      <w:lvlJc w:val="left"/>
      <w:pPr>
        <w:ind w:left="2160" w:hanging="360"/>
      </w:pPr>
    </w:lvl>
    <w:lvl w:ilvl="3" w:tplc="91560C26">
      <w:start w:val="1"/>
      <w:numFmt w:val="bullet"/>
      <w:lvlText w:val="●"/>
      <w:lvlJc w:val="left"/>
      <w:pPr>
        <w:ind w:left="2880" w:hanging="360"/>
      </w:pPr>
    </w:lvl>
    <w:lvl w:ilvl="4" w:tplc="4E383C36">
      <w:start w:val="1"/>
      <w:numFmt w:val="bullet"/>
      <w:lvlText w:val="○"/>
      <w:lvlJc w:val="left"/>
      <w:pPr>
        <w:ind w:left="3600" w:hanging="360"/>
      </w:pPr>
    </w:lvl>
    <w:lvl w:ilvl="5" w:tplc="6DB086FA">
      <w:start w:val="1"/>
      <w:numFmt w:val="bullet"/>
      <w:lvlText w:val="■"/>
      <w:lvlJc w:val="left"/>
      <w:pPr>
        <w:ind w:left="4320" w:hanging="360"/>
      </w:pPr>
    </w:lvl>
    <w:lvl w:ilvl="6" w:tplc="9EF6D1FE">
      <w:start w:val="1"/>
      <w:numFmt w:val="bullet"/>
      <w:lvlText w:val="●"/>
      <w:lvlJc w:val="left"/>
      <w:pPr>
        <w:ind w:left="5040" w:hanging="360"/>
      </w:pPr>
    </w:lvl>
    <w:lvl w:ilvl="7" w:tplc="7A941FFA">
      <w:start w:val="1"/>
      <w:numFmt w:val="bullet"/>
      <w:lvlText w:val="●"/>
      <w:lvlJc w:val="left"/>
      <w:pPr>
        <w:ind w:left="5760" w:hanging="360"/>
      </w:pPr>
    </w:lvl>
    <w:lvl w:ilvl="8" w:tplc="0374B562">
      <w:start w:val="1"/>
      <w:numFmt w:val="bullet"/>
      <w:lvlText w:val="●"/>
      <w:lvlJc w:val="left"/>
      <w:pPr>
        <w:ind w:left="6480" w:hanging="360"/>
      </w:pPr>
    </w:lvl>
  </w:abstractNum>
  <w:num w:numId="1" w16cid:durableId="181629663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89F"/>
    <w:rsid w:val="00214322"/>
    <w:rsid w:val="002E79F2"/>
    <w:rsid w:val="00A7189F"/>
    <w:rsid w:val="00E275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76529E3"/>
  <w15:docId w15:val="{C7385376-92C5-A940-8D02-EEDD1303F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1134</Words>
  <Characters>6237</Characters>
  <Application>Microsoft Office Word</Application>
  <DocSecurity>0</DocSecurity>
  <Lines>51</Lines>
  <Paragraphs>14</Paragraphs>
  <ScaleCrop>false</ScaleCrop>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2026-10-19T04:03:00Z</dcterms:created>
  <dcterms:modified xsi:type="dcterms:W3CDTF">2026-10-19T04:07:00Z</dcterms:modified>
</cp:coreProperties>
</file>