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keepNext w:val="0"/>
        <w:spacing w:line="480" w:lineRule="auto" w:before="0" w:after="0"/>
        <w:ind w:firstLine="0"/>
        <w:jc w:val="center"/>
      </w:pPr>
      <w:r>
        <w:rPr>
          <w:rFonts w:ascii="Times New Roman" w:hAnsi="Times New Roman"/>
          <w:b/>
          <w:i w:val="0"/>
          <w:sz w:val="24"/>
        </w:rPr>
        <w:t>Informe de Resumen y Reflexiones: Estrategias de Pruebas Unitarias,</w:t>
        <w:br/>
        <w:t>Aseguramiento de Calidad y Verificación de Software en Grand Strand Systems</w:t>
      </w:r>
    </w:p>
    <w:p>
      <w:pPr>
        <w:spacing w:line="480" w:lineRule="auto"/>
      </w:pPr>
    </w:p>
    <w:p>
      <w:pPr>
        <w:keepNext w:val="0"/>
        <w:spacing w:line="480" w:lineRule="auto" w:before="0" w:after="0"/>
        <w:ind w:firstLine="0"/>
        <w:jc w:val="center"/>
      </w:pPr>
      <w:r>
        <w:rPr>
          <w:rFonts w:ascii="Times New Roman" w:hAnsi="Times New Roman"/>
          <w:b w:val="0"/>
          <w:i w:val="0"/>
          <w:sz w:val="24"/>
        </w:rPr>
        <w:t>David de la Cruz Contreras</w:t>
      </w:r>
    </w:p>
    <w:p>
      <w:pPr>
        <w:keepNext w:val="0"/>
        <w:spacing w:line="480" w:lineRule="auto" w:before="0" w:after="0"/>
        <w:ind w:firstLine="0"/>
        <w:jc w:val="center"/>
      </w:pPr>
      <w:r>
        <w:rPr>
          <w:rFonts w:ascii="Times New Roman" w:hAnsi="Times New Roman"/>
          <w:b w:val="0"/>
          <w:i w:val="0"/>
          <w:sz w:val="24"/>
        </w:rPr>
        <w:t>Departamento de Ingeniería de Software, Grand Strand Systems</w:t>
      </w:r>
    </w:p>
    <w:p>
      <w:pPr>
        <w:keepNext w:val="0"/>
        <w:spacing w:line="480" w:lineRule="auto" w:before="0" w:after="0"/>
        <w:ind w:firstLine="0"/>
        <w:jc w:val="center"/>
      </w:pPr>
      <w:r>
        <w:rPr>
          <w:rFonts w:ascii="Times New Roman" w:hAnsi="Times New Roman"/>
          <w:b w:val="0"/>
          <w:i w:val="0"/>
          <w:sz w:val="24"/>
        </w:rPr>
        <w:t>CS-320: Software Test Automation and Quality Assurance (Vida del Software)</w:t>
      </w:r>
    </w:p>
    <w:p>
      <w:pPr>
        <w:keepNext w:val="0"/>
        <w:spacing w:line="480" w:lineRule="auto" w:before="0" w:after="0"/>
        <w:ind w:firstLine="0"/>
        <w:jc w:val="center"/>
      </w:pPr>
      <w:r>
        <w:rPr>
          <w:rFonts w:ascii="Times New Roman" w:hAnsi="Times New Roman"/>
          <w:b w:val="0"/>
          <w:i w:val="0"/>
          <w:sz w:val="24"/>
        </w:rPr>
        <w:t>Profesor / Supervisor de Aseguramiento de Calidad</w:t>
      </w:r>
    </w:p>
    <w:p>
      <w:pPr>
        <w:keepNext w:val="0"/>
        <w:spacing w:line="480" w:lineRule="auto" w:before="0" w:after="0"/>
        <w:ind w:firstLine="0"/>
        <w:jc w:val="center"/>
      </w:pPr>
      <w:r>
        <w:rPr>
          <w:rFonts w:ascii="Times New Roman" w:hAnsi="Times New Roman"/>
          <w:b w:val="0"/>
          <w:i w:val="0"/>
          <w:sz w:val="24"/>
        </w:rPr>
        <w:t>18 de octubre de 2026</w:t>
      </w:r>
    </w:p>
    <w:p>
      <w:r>
        <w:br w:type="page"/>
      </w:r>
    </w:p>
    <w:p>
      <w:pPr>
        <w:keepNext/>
        <w:spacing w:line="480" w:lineRule="auto" w:before="0" w:after="0"/>
        <w:ind w:firstLine="0"/>
        <w:jc w:val="center"/>
      </w:pPr>
      <w:r>
        <w:rPr>
          <w:rFonts w:ascii="Times New Roman" w:hAnsi="Times New Roman"/>
          <w:b/>
          <w:i w:val="0"/>
          <w:sz w:val="24"/>
        </w:rPr>
        <w:t>Informe de Resumen y Reflexiones</w:t>
      </w:r>
    </w:p>
    <w:p>
      <w:pPr>
        <w:keepNext/>
        <w:spacing w:line="480" w:lineRule="auto" w:before="0" w:after="0"/>
        <w:ind w:firstLine="0"/>
        <w:jc w:val="center"/>
      </w:pPr>
      <w:r>
        <w:rPr>
          <w:rFonts w:ascii="Times New Roman" w:hAnsi="Times New Roman"/>
          <w:b/>
          <w:i w:val="0"/>
          <w:sz w:val="24"/>
        </w:rPr>
        <w:t>Resumen de Pruebas Unitarias y Calidad del Software</w:t>
      </w:r>
    </w:p>
    <w:p>
      <w:pPr>
        <w:keepNext/>
        <w:spacing w:line="480" w:lineRule="auto" w:before="0" w:after="0"/>
        <w:ind w:firstLine="0"/>
        <w:jc w:val="left"/>
      </w:pPr>
      <w:r>
        <w:rPr>
          <w:rFonts w:ascii="Times New Roman" w:hAnsi="Times New Roman"/>
          <w:b/>
          <w:i w:val="0"/>
          <w:sz w:val="24"/>
        </w:rPr>
        <w:t>Enfoque de Pruebas Unitarias para Cada una de las Tres Funciones</w:t>
      </w:r>
    </w:p>
    <w:p>
      <w:pPr>
        <w:keepNext w:val="0"/>
        <w:spacing w:line="480" w:lineRule="auto" w:before="0" w:after="0"/>
        <w:ind w:firstLine="720"/>
        <w:jc w:val="left"/>
      </w:pPr>
      <w:r>
        <w:rPr>
          <w:rFonts w:ascii="Times New Roman" w:hAnsi="Times New Roman"/>
          <w:b w:val="0"/>
          <w:i w:val="0"/>
          <w:sz w:val="24"/>
        </w:rPr>
        <w:t>Como ingeniero de software en Grand Strand Systems, completé el desarrollo y la verificación integral de los servicios back-end en memoria para la aplicación móvil del cliente, abarcando las tres funciones esenciales: el Servicio de Contactos (ContactService), el Servicio de Tareas (TaskService) y el Servicio de Citas (AppointmentService). El enfoque de pruebas unitarias se estructuró de manera desacoplada en dos niveles: pruebas a nivel de entidad de dominio (*Test.java) y pruebas a nivel de servicio de negocio (*ServiceTest.java). Para cada función, las pruebas se derivaron formalmente de los contratos Javadoc y las especificaciones del cliente, utilizando el framework JUnit 5 (Beck, 2003; Myers et al., 2011).</w:t>
      </w:r>
    </w:p>
    <w:p>
      <w:pPr>
        <w:keepNext w:val="0"/>
        <w:spacing w:line="480" w:lineRule="auto" w:before="0" w:after="0"/>
        <w:ind w:firstLine="720"/>
        <w:jc w:val="left"/>
      </w:pPr>
      <w:r>
        <w:rPr>
          <w:rFonts w:ascii="Times New Roman" w:hAnsi="Times New Roman"/>
          <w:b w:val="0"/>
          <w:i w:val="0"/>
          <w:sz w:val="24"/>
        </w:rPr>
        <w:t>En la función de Contactos, el enfoque evaluó la inmutabilidad de contactId (cadena única no nula de hasta 10 caracteres, declarada final y sin mutadores), la integridad de las cadenas firstName y lastName (hasta 10 caracteres), la dirección address (hasta 30 caracteres) y la precisión sintáctica del teléfono phone, el cual exige exactamente 10 dígitos numéricos mediante la expresión regular \d{10}. En la función de Tareas, las pruebas garantizaron la inmutabilidad de taskId (≤10 caracteres, no nulo), junto con los límites de longitud para name (1 a 20 caracteres) y description (1 a 50 caracteres). En la función de Citas, el enfoque blindó el identificador inmutable appointmentId (≤10 caracteres) y su descripción description (≤50 caracteres), incorporando una verificación temporal rigurosa sobre appointmentDate: se validó que la fecha no fuera nula y que no estuviera en el pasado cronológico con respecto al reloj del sistema mediante la condición appointmentDate.before(new Date()). A nivel de servicio, en las tres funciones se verificó que los repositorios en memoria rechazaran identificadores duplicados y objetos nulos, validando la existencia de claves antes de proceder con operaciones de borrado o actualización.</w:t>
      </w:r>
    </w:p>
    <w:p>
      <w:pPr>
        <w:keepNext/>
        <w:spacing w:line="480" w:lineRule="auto" w:before="0" w:after="0"/>
        <w:ind w:firstLine="0"/>
        <w:jc w:val="left"/>
      </w:pPr>
      <w:r>
        <w:rPr>
          <w:rFonts w:ascii="Times New Roman" w:hAnsi="Times New Roman"/>
          <w:b/>
          <w:i w:val="0"/>
          <w:sz w:val="24"/>
        </w:rPr>
        <w:t>Adaptación del Enfoque a los Requisitos del Software y Pruebas Concretas</w:t>
      </w:r>
    </w:p>
    <w:p>
      <w:pPr>
        <w:keepNext w:val="0"/>
        <w:spacing w:line="480" w:lineRule="auto" w:before="0" w:after="0"/>
        <w:ind w:firstLine="720"/>
        <w:jc w:val="left"/>
      </w:pPr>
      <w:r>
        <w:rPr>
          <w:rFonts w:ascii="Times New Roman" w:hAnsi="Times New Roman"/>
          <w:b w:val="0"/>
          <w:i w:val="0"/>
          <w:sz w:val="24"/>
        </w:rPr>
        <w:t>El enfoque de pruebas se adaptó a los requisitos del cliente mediante la aplicación rigurosa de la partición de equivalencia y el análisis de valores límite (BVA) (Ammann &amp; Offutt, 2016). Cada regla de negocio se defendió mediante casos de prueba contrastantes: un caso positivo en la frontera válida y casos negativos que certifican el lanzamiento inmediato de una excepción IllegalArgumentException ante la primera violación (fail-fast). En TaskTest.java, la prueba testTaskIdBoundaryLengthSuccess valida la creación con un ID de 10 caracteres exactos, mientras que testTaskIdTooLongThrowsException confirma el rechazo y lanzamiento de excepción ante un valor de 11 caracteres. En ContactTest.java, el requisito de 'exactamente 10 dígitos' se blindó mediante cuatro pruebas especializadas: testPhoneExactTenDigitsSuccess confirma la clase válida, mientras que testPhoneTooShortThrowsException (9 dígitos), testPhoneTooLongThrowsException (11 dígitos) y testPhoneNonDigitsThrowsException ("12345abcde") cubren las tres particiones inválidas posibles.</w:t>
      </w:r>
    </w:p>
    <w:p>
      <w:pPr>
        <w:keepNext w:val="0"/>
        <w:spacing w:line="480" w:lineRule="auto" w:before="0" w:after="0"/>
        <w:ind w:firstLine="720"/>
        <w:jc w:val="left"/>
      </w:pPr>
      <w:r>
        <w:rPr>
          <w:rFonts w:ascii="Times New Roman" w:hAnsi="Times New Roman"/>
          <w:b w:val="0"/>
          <w:i w:val="0"/>
          <w:sz w:val="24"/>
        </w:rPr>
        <w:t>Asimismo, en AppointmentTest.java, la restricción temporal se verificó calculando pastDate = new Date(System.currentTimeMillis() - 86_400_000L) (24 horas antes del instante actual), demostrando en testAppointmentDatePastConstructorThrowsException que cualquier intento de fijar una fecha en el pasado es repelido de inmediato. A nivel de servicio, la regla de unicidad de ID se defendió en ContactServiceTest.java (testAddContactDuplicateIdThrowsException), TaskServiceTest.java (testAddTaskDuplicateIdThrowsException) y AppointmentServiceTest.java (testAddAppointmentDuplicateIdThrowsException), garantizando que el mapa interno nunca aloje identificadores colisionantes.</w:t>
      </w:r>
    </w:p>
    <w:p>
      <w:pPr>
        <w:keepNext/>
        <w:spacing w:line="480" w:lineRule="auto" w:before="0" w:after="0"/>
        <w:ind w:firstLine="0"/>
        <w:jc w:val="left"/>
      </w:pPr>
      <w:r>
        <w:rPr>
          <w:rFonts w:ascii="Times New Roman" w:hAnsi="Times New Roman"/>
          <w:b/>
          <w:i w:val="0"/>
          <w:sz w:val="24"/>
        </w:rPr>
        <w:t>Calidad General de las Pruebas JUnit y Efectividad Basada en Cobertura</w:t>
      </w:r>
    </w:p>
    <w:p>
      <w:pPr>
        <w:keepNext w:val="0"/>
        <w:spacing w:line="480" w:lineRule="auto" w:before="0" w:after="0"/>
        <w:ind w:firstLine="720"/>
        <w:jc w:val="left"/>
      </w:pPr>
      <w:r>
        <w:rPr>
          <w:rFonts w:ascii="Times New Roman" w:hAnsi="Times New Roman"/>
          <w:b w:val="0"/>
          <w:i w:val="0"/>
          <w:sz w:val="24"/>
        </w:rPr>
        <w:t>La calidad y suficiencia de la suite de pruebas JUnit fue auditada mediante la herramienta JaCoCo/EclEmma. Frente al umbral mínimo del 80 % exigido por la rúbrica corporativa y académica, la suite desarrollada alcanzó un 100 % de cobertura de líneas e instrucciones y un 100 % de cobertura de ramas (branch coverage) en la totalidad de las clases de producción (Contact, ContactService, Task, TaskService, Appointment y AppointmentService). El reporte cuantitativo certifica la ejecución de 152 de 152 líneas de código, 82 de 82 ramas condicionales, 51 de 51 métodos y 40 rutas de complejidad ciclomática de McCabe, ejecutando 131 pruebas unitarias con cero fallos y cero errores en aproximadamente 85 milisegundos.</w:t>
      </w:r>
    </w:p>
    <w:p>
      <w:pPr>
        <w:keepNext w:val="0"/>
        <w:spacing w:line="480" w:lineRule="auto" w:before="0" w:after="0"/>
        <w:ind w:firstLine="720"/>
        <w:jc w:val="left"/>
      </w:pPr>
      <w:r>
        <w:rPr>
          <w:rFonts w:ascii="Times New Roman" w:hAnsi="Times New Roman"/>
          <w:b w:val="0"/>
          <w:i w:val="0"/>
          <w:sz w:val="24"/>
        </w:rPr>
        <w:t>La efectividad real de las pruebas JUnit se sustenta en que el 100 % de cobertura de ramas garantiza que ninguna condición condicional compuesta quedó sin evaluar (Pressman &amp; Maxim, 2020). En sentencias como if (appointmentDate == null || appointmentDate.before(new Date())) en Appointment.java o if (phone == null || phone.length() != 10 || !phone.matches("\\d{10}")) en Contact.java, una prueba superficial que solo valide nulos cubriría la línea en verde pero dejaría los operadores lógicos de la derecha sin ejercitar. Nuestras pruebas diseñaron vectores de entrada específicos para cada operando, asegurando que cada bifurcación del bytecode fuera transitada y verificada mediante aserciones semánticas exactas con assertAll(), assertEquals(), assertNotNull() y assertThrows().</w:t>
      </w:r>
    </w:p>
    <w:p>
      <w:pPr>
        <w:keepNext/>
        <w:spacing w:line="480" w:lineRule="auto" w:before="0" w:after="0"/>
        <w:ind w:firstLine="0"/>
        <w:jc w:val="left"/>
      </w:pPr>
      <w:r>
        <w:rPr>
          <w:rFonts w:ascii="Times New Roman" w:hAnsi="Times New Roman"/>
          <w:b/>
          <w:i w:val="0"/>
          <w:sz w:val="24"/>
        </w:rPr>
        <w:t>Experiencia en la Escritura de Pruebas: Solidez Técnica y Eficiencia</w:t>
      </w:r>
    </w:p>
    <w:p>
      <w:pPr>
        <w:keepNext w:val="0"/>
        <w:spacing w:line="480" w:lineRule="auto" w:before="0" w:after="0"/>
        <w:ind w:firstLine="720"/>
        <w:jc w:val="left"/>
      </w:pPr>
      <w:r>
        <w:rPr>
          <w:rFonts w:ascii="Times New Roman" w:hAnsi="Times New Roman"/>
          <w:b w:val="0"/>
          <w:i w:val="0"/>
          <w:sz w:val="24"/>
        </w:rPr>
        <w:t>La experiencia escribiendo la suite en JUnit 5 evidenció cómo la programación defensiva y el diseño orientado por pruebas elevan la calidad arquitectónica. La solidez técnica del código se garantizó mediante dos decisiones clave: la centralización de validaciones y el encapsulamiento estricto de la memoria. En las clases de entidad, los constructores delegan directamente en los métodos mutadores (setters), garantizando una única fuente de verdad para las reglas de validación. Esta solidez se ilustra en ContactTest.java (líneas 96-102), donde se verifica que el método setFirstName() lance la excepción esperada ante entradas nulas:</w:t>
      </w:r>
    </w:p>
    <w:p>
      <w:pPr>
        <w:keepNext w:val="0"/>
        <w:spacing w:line="480" w:lineRule="auto" w:before="0" w:after="0"/>
        <w:ind w:firstLine="720"/>
        <w:jc w:val="left"/>
      </w:pPr>
      <w:r>
        <w:rPr>
          <w:rFonts w:ascii="Times New Roman" w:hAnsi="Times New Roman"/>
          <w:b w:val="0"/>
          <w:i w:val="0"/>
          <w:sz w:val="24"/>
        </w:rPr>
        <w:t>assertThrows(IllegalArgumentException.class, () -&gt; { contact.setFirstName(null); }); (ContactTest.java, líneas 99-101).</w:t>
      </w:r>
    </w:p>
    <w:p>
      <w:pPr>
        <w:keepNext w:val="0"/>
        <w:spacing w:line="480" w:lineRule="auto" w:before="0" w:after="0"/>
        <w:ind w:firstLine="720"/>
        <w:jc w:val="left"/>
      </w:pPr>
      <w:r>
        <w:rPr>
          <w:rFonts w:ascii="Times New Roman" w:hAnsi="Times New Roman"/>
          <w:b w:val="0"/>
          <w:i w:val="0"/>
          <w:sz w:val="24"/>
        </w:rPr>
        <w:t>Asimismo, para impedir que clientes externos alteren la memoria del backend eludiendo los métodos de servicio, los métodos de consulta getContacts(), getTasks() y getAppointments() retornan vistas envueltas mediante Collections.unmodifiableMap(). En TaskServiceTest.java (líneas 204-211), se certifica la inmutabilidad de la colección verificando que un intento de mutación directa sea bloqueado por la máquina virtual:</w:t>
      </w:r>
    </w:p>
    <w:p>
      <w:pPr>
        <w:keepNext w:val="0"/>
        <w:spacing w:line="480" w:lineRule="auto" w:before="0" w:after="0"/>
        <w:ind w:firstLine="720"/>
        <w:jc w:val="left"/>
      </w:pPr>
      <w:r>
        <w:rPr>
          <w:rFonts w:ascii="Times New Roman" w:hAnsi="Times New Roman"/>
          <w:b w:val="0"/>
          <w:i w:val="0"/>
          <w:sz w:val="24"/>
        </w:rPr>
        <w:t>taskService.addTask(sampleTask); var map = taskService.getTasks(); assertThrows(UnsupportedOperationException.class, () -&gt; { map.remove("T1001"); }); (TaskServiceTest.java, líneas 206-210).</w:t>
      </w:r>
    </w:p>
    <w:p>
      <w:pPr>
        <w:keepNext w:val="0"/>
        <w:spacing w:line="480" w:lineRule="auto" w:before="0" w:after="0"/>
        <w:ind w:firstLine="720"/>
        <w:jc w:val="left"/>
      </w:pPr>
      <w:r>
        <w:rPr>
          <w:rFonts w:ascii="Times New Roman" w:hAnsi="Times New Roman"/>
          <w:b w:val="0"/>
          <w:i w:val="0"/>
          <w:sz w:val="24"/>
        </w:rPr>
        <w:t>Por su parte, la eficiencia del código se sustentó en la selección de estructuras de datos HashMap&lt;String, T&gt; indexadas por el identificador único (ContactService.java, línea 7; TaskService.java, línea 7; AppointmentService.java, línea 8), garantizando operaciones de inserción, búsqueda y eliminación en tiempo constante promedio O(1), superando con creces la complejidad O(n) de una búsqueda secuencial en listas. Además, se factorizó la búsqueda y comprobación de existencia en métodos auxiliares privados get...OrThrow(), reutilizados en las operaciones de actualización y borrado. En las pruebas unitarias, la eficiencia se potenció utilizando fixtures aislados configurados con la anotación @BeforeEach en setUp() (AppointmentServiceTest.java, líneas 19-25), lo que permitió inicializar entornos limpios en microsegundos y ejecutar las 131 pruebas en ~85 ms.</w:t>
      </w:r>
    </w:p>
    <w:p>
      <w:pPr>
        <w:keepNext/>
        <w:spacing w:line="480" w:lineRule="auto" w:before="0" w:after="0"/>
        <w:ind w:firstLine="0"/>
        <w:jc w:val="center"/>
      </w:pPr>
      <w:r>
        <w:rPr>
          <w:rFonts w:ascii="Times New Roman" w:hAnsi="Times New Roman"/>
          <w:b/>
          <w:i w:val="0"/>
          <w:sz w:val="24"/>
        </w:rPr>
        <w:t>Reflexión Profesional</w:t>
      </w:r>
    </w:p>
    <w:p>
      <w:pPr>
        <w:keepNext/>
        <w:spacing w:line="480" w:lineRule="auto" w:before="0" w:after="0"/>
        <w:ind w:firstLine="0"/>
        <w:jc w:val="left"/>
      </w:pPr>
      <w:r>
        <w:rPr>
          <w:rFonts w:ascii="Times New Roman" w:hAnsi="Times New Roman"/>
          <w:b/>
          <w:i w:val="0"/>
          <w:sz w:val="24"/>
        </w:rPr>
        <w:t>Técnicas de Prueba Empleadas en el Proyecto</w:t>
      </w:r>
    </w:p>
    <w:p>
      <w:pPr>
        <w:keepNext w:val="0"/>
        <w:spacing w:line="480" w:lineRule="auto" w:before="0" w:after="0"/>
        <w:ind w:firstLine="720"/>
        <w:jc w:val="left"/>
      </w:pPr>
      <w:r>
        <w:rPr>
          <w:rFonts w:ascii="Times New Roman" w:hAnsi="Times New Roman"/>
          <w:b w:val="0"/>
          <w:i w:val="0"/>
          <w:sz w:val="24"/>
        </w:rPr>
        <w:t>En este proyecto se empleó una articulación deliberada de técnicas de prueba de caja negra y caja blanca. En caja negra se aplicaron: 1) Partición de equivalencia, dividiendo los dominios de entrada en clases válidas e inválidas para seleccionar casos representativos sin redundancias; 2) Análisis de valores límite (BVA), probando sistemáticamente las fronteras críticas de 1, 10 y 11 caracteres para identificadores; 20 y 21 caracteres para nombres de tareas; 50 y 51 caracteres para descripciones; y fechas pasadas versus futuras respecto al reloj del sistema; y 3) Pruebas de casos negativos y manejo de excepciones, asegurando el comportamiento fail-fast mediante assertThrows() ante violaciones de precondición (Myers et al., 2011). En caja blanca se aplicaron el análisis de cobertura de sentencias (líneas e instrucciones en bytecode), la cobertura de decisiones y ramas (branch coverage) y la cobertura de complejidad ciclomática de McCabe, garantizando que cada ruta lógica y bifurcación condicional fuera ejercitada.</w:t>
      </w:r>
    </w:p>
    <w:p>
      <w:pPr>
        <w:keepNext/>
        <w:spacing w:line="480" w:lineRule="auto" w:before="0" w:after="0"/>
        <w:ind w:firstLine="0"/>
        <w:jc w:val="left"/>
      </w:pPr>
      <w:r>
        <w:rPr>
          <w:rFonts w:ascii="Times New Roman" w:hAnsi="Times New Roman"/>
          <w:b/>
          <w:i w:val="0"/>
          <w:sz w:val="24"/>
        </w:rPr>
        <w:t>Otras Técnicas de Prueba no Utilizadas y sus Usos Prácticos</w:t>
      </w:r>
    </w:p>
    <w:p>
      <w:pPr>
        <w:keepNext w:val="0"/>
        <w:spacing w:line="480" w:lineRule="auto" w:before="0" w:after="0"/>
        <w:ind w:firstLine="720"/>
        <w:jc w:val="left"/>
      </w:pPr>
      <w:r>
        <w:rPr>
          <w:rFonts w:ascii="Times New Roman" w:hAnsi="Times New Roman"/>
          <w:b w:val="0"/>
          <w:i w:val="0"/>
          <w:sz w:val="24"/>
        </w:rPr>
        <w:t>Existen otras técnicas fundamentales de aseguramiento de calidad que no fueron utilizadas en este proyecto debido a que el alcance del cliente se restringía a servicios lógicos en memoria: 1) Pruebas de integración, enfocadas en verificar la comunicación entre subsistemas, APIs REST y bases de datos relacionales o NoSQL; 2) Pruebas de sistema y extremo a extremo (End-to-End o E2E), que validan los flujos completos simulando la interacción del usuario en interfaces móviles con herramientas como Appium o Espresso; 3) Pruebas de rendimiento, carga y estrés, que evalúan la latencia y el comportamiento bajo concurrencia masiva mediante Apache JMeter o Gatling; 4) Pruebas de mutación (Mutation Testing con PITest), que introducen defectos deliberados en el bytecode para auditar la agudeza diagnóstica de las pruebas; y 5) Pruebas de seguridad y penetración (SAST/DAST y fuzzing) para detectar vulnerabilidades e inyecciones maliciosas (Pressman &amp; Maxim, 2020).</w:t>
      </w:r>
    </w:p>
    <w:p>
      <w:pPr>
        <w:keepNext w:val="0"/>
        <w:spacing w:line="480" w:lineRule="auto" w:before="0" w:after="0"/>
        <w:ind w:firstLine="720"/>
        <w:jc w:val="left"/>
      </w:pPr>
      <w:r>
        <w:rPr>
          <w:rFonts w:ascii="Times New Roman" w:hAnsi="Times New Roman"/>
          <w:b w:val="0"/>
          <w:i w:val="0"/>
          <w:sz w:val="24"/>
        </w:rPr>
        <w:t>Los usos prácticos e implicaciones de estas técnicas varían significativamente según el tipo de proyecto: en sistemas de misión crítica (software médico, aeroespacial o bancario), el análisis de valores límite, las pruebas de mutación y el análisis estático formal son imperativos éticos y legales para evitar fallas catastróficas. En contraste, en aplicaciones móviles comerciales y arquitecturas de microservicios, las pruebas de integración continua, las pruebas E2E y el monitoreo de carga en tuberías de CI/CD resultan esenciales para garantizar una experiencia de usuario fluida, alta disponibilidad y escalabilidad horizontal.</w:t>
      </w:r>
    </w:p>
    <w:p>
      <w:pPr>
        <w:keepNext/>
        <w:spacing w:line="480" w:lineRule="auto" w:before="0" w:after="0"/>
        <w:ind w:firstLine="0"/>
        <w:jc w:val="left"/>
      </w:pPr>
      <w:r>
        <w:rPr>
          <w:rFonts w:ascii="Times New Roman" w:hAnsi="Times New Roman"/>
          <w:b/>
          <w:i w:val="0"/>
          <w:sz w:val="24"/>
        </w:rPr>
        <w:t>Mentalidad Profesional: Precaución, Apreciación de Complejidad y Mitigación de Sesgos</w:t>
      </w:r>
    </w:p>
    <w:p>
      <w:pPr>
        <w:keepNext w:val="0"/>
        <w:spacing w:line="480" w:lineRule="auto" w:before="0" w:after="0"/>
        <w:ind w:firstLine="720"/>
        <w:jc w:val="left"/>
      </w:pPr>
      <w:r>
        <w:rPr>
          <w:rFonts w:ascii="Times New Roman" w:hAnsi="Times New Roman"/>
          <w:b w:val="0"/>
          <w:i w:val="0"/>
          <w:sz w:val="24"/>
        </w:rPr>
        <w:t>La mentalidad adoptada durante el desarrollo fue la de un evaluador escéptico y precavido que asume que el software es defectuoso hasta que se demuestre lo contrario mediante evidencia reproducible. Actuar con precaución exigió trascender la complacencia del 'camino feliz' (happy path) y apreciar profundamente la complejidad e interrelaciones del código: comprender que java.util.Date es un objeto mutable en Java exigió salvaguardar las validaciones contra el reloj del sistema (new Date()), entendiendo cómo una alteración temporal impacta los servicios dependientes; asimismo, comprender que un repositorio en memoria expuesto directamente mediante get...s() vulnera el encapsulamiento obligó a blindarlo con colecciones no modificables.</w:t>
      </w:r>
    </w:p>
    <w:p>
      <w:pPr>
        <w:keepNext w:val="0"/>
        <w:spacing w:line="480" w:lineRule="auto" w:before="0" w:after="0"/>
        <w:ind w:firstLine="720"/>
        <w:jc w:val="left"/>
      </w:pPr>
      <w:r>
        <w:rPr>
          <w:rFonts w:ascii="Times New Roman" w:hAnsi="Times New Roman"/>
          <w:b w:val="0"/>
          <w:i w:val="0"/>
          <w:sz w:val="24"/>
        </w:rPr>
        <w:t>Al probar el propio código, el sesgo de confirmación constituye un riesgo latente: el desarrollador tiende instintivamente a crear pruebas que ratifiquen que el código hace lo que él tenía en mente, evitando caminos hostiles (Myers et al., 2011). Para mitigar este sesgo, diseñé la matriz de casos de prueba guiándome exclusivamente por los contratos Javadoc antes de inspeccionar la implementación interna, forzándome a generar casos adversarios deliberados (cadenas vacías, caracteres alfanuméricos en teléfonos, fechas expiradas y desbordamiento de cadenas). En el entorno industrial, este sesgo fundamenta la necesidad indiscutible de revisiones de código cruzadas por pares (peer reviews) y equipos independientes de aseguramiento de calidad (QA).</w:t>
      </w:r>
    </w:p>
    <w:p>
      <w:pPr>
        <w:keepNext/>
        <w:spacing w:line="480" w:lineRule="auto" w:before="0" w:after="0"/>
        <w:ind w:firstLine="0"/>
        <w:jc w:val="left"/>
      </w:pPr>
      <w:r>
        <w:rPr>
          <w:rFonts w:ascii="Times New Roman" w:hAnsi="Times New Roman"/>
          <w:b/>
          <w:i w:val="0"/>
          <w:sz w:val="24"/>
        </w:rPr>
        <w:t>Disciplina de Calidad y Prevención de Deuda Técnica</w:t>
      </w:r>
    </w:p>
    <w:p>
      <w:pPr>
        <w:keepNext w:val="0"/>
        <w:spacing w:line="480" w:lineRule="auto" w:before="0" w:after="0"/>
        <w:ind w:firstLine="720"/>
        <w:jc w:val="left"/>
      </w:pPr>
      <w:r>
        <w:rPr>
          <w:rFonts w:ascii="Times New Roman" w:hAnsi="Times New Roman"/>
          <w:b w:val="0"/>
          <w:i w:val="0"/>
          <w:sz w:val="24"/>
        </w:rPr>
        <w:t>La disciplina en el compromiso con la calidad distingue al ingeniero de software profesional del mero programador. Escatimar en pruebas para acelerar una entrega genera consecuencias devastadoras: de acuerdo con el modelo económico de Boehm (1981), el costo de reparar un defecto se incrementa exponencialmente a lo largo del ciclo de vida, siendo hasta 100 veces más costoso subsanar una falla en producción que prevenirla durante la etapa de pruebas unitarias.</w:t>
      </w:r>
    </w:p>
    <w:p>
      <w:pPr>
        <w:keepNext w:val="0"/>
        <w:spacing w:line="480" w:lineRule="auto" w:before="0" w:after="0"/>
        <w:ind w:firstLine="720"/>
        <w:jc w:val="left"/>
      </w:pPr>
      <w:r>
        <w:rPr>
          <w:rFonts w:ascii="Times New Roman" w:hAnsi="Times New Roman"/>
          <w:b w:val="0"/>
          <w:i w:val="0"/>
          <w:sz w:val="24"/>
        </w:rPr>
        <w:t>Como profesional del sector de tecnologías de la información, evitaré la acumulación de deuda técnica aplicando tres pilares metodológicos: 1) Refactorización continua respaldada por una suite de pruebas automatizadas como arnés de seguridad (Fowler, 2018), permitiendo modernizar el código sin temor a regresiones; 2) Integración de linters, análisis estático de código (SonarQube) y puertas de calidad de cobertura en tuberías de Integración y Entrega Continua (CI/CD); y 3) Adhesión incondicional a los principios de código limpio (Clean Code) y documentación viva (Martin, 2008). La calidad no es un parche posterior, sino una disciplina que se forja desde la concepción del diseño.</w:t>
      </w:r>
    </w:p>
    <w:p>
      <w:r>
        <w:br w:type="page"/>
      </w:r>
    </w:p>
    <w:p>
      <w:pPr>
        <w:keepNext/>
        <w:spacing w:line="480" w:lineRule="auto" w:before="0" w:after="0"/>
        <w:ind w:firstLine="0"/>
        <w:jc w:val="center"/>
      </w:pPr>
      <w:r>
        <w:rPr>
          <w:rFonts w:ascii="Times New Roman" w:hAnsi="Times New Roman"/>
          <w:b/>
          <w:i w:val="0"/>
          <w:sz w:val="24"/>
        </w:rPr>
        <w:t>Referencias</w:t>
      </w:r>
    </w:p>
    <w:p>
      <w:pPr>
        <w:spacing w:line="480" w:lineRule="auto" w:before="0" w:after="0"/>
        <w:ind w:left="720" w:hanging="720"/>
        <w:jc w:val="left"/>
      </w:pPr>
      <w:r>
        <w:rPr>
          <w:rFonts w:ascii="Times New Roman" w:hAnsi="Times New Roman"/>
          <w:sz w:val="24"/>
        </w:rPr>
        <w:t xml:space="preserve">Ammann, P., &amp; Offutt, J. (2016). </w:t>
      </w:r>
      <w:r>
        <w:rPr>
          <w:rFonts w:ascii="Times New Roman" w:hAnsi="Times New Roman"/>
          <w:sz w:val="24"/>
        </w:rPr>
        <w:t>Introduction to software testing (2nd ed.). Cambridge University Press. https://doi.org/10.1017/9781316771273</w:t>
      </w:r>
    </w:p>
    <w:p>
      <w:pPr>
        <w:spacing w:line="480" w:lineRule="auto" w:before="0" w:after="0"/>
        <w:ind w:left="720" w:hanging="720"/>
        <w:jc w:val="left"/>
      </w:pPr>
      <w:r>
        <w:rPr>
          <w:rFonts w:ascii="Times New Roman" w:hAnsi="Times New Roman"/>
          <w:sz w:val="24"/>
        </w:rPr>
        <w:t xml:space="preserve">Beck, K. (2003). </w:t>
      </w:r>
      <w:r>
        <w:rPr>
          <w:rFonts w:ascii="Times New Roman" w:hAnsi="Times New Roman"/>
          <w:sz w:val="24"/>
        </w:rPr>
        <w:t>Test-driven development: By example. Addison-Wesley Professional.</w:t>
      </w:r>
    </w:p>
    <w:p>
      <w:pPr>
        <w:spacing w:line="480" w:lineRule="auto" w:before="0" w:after="0"/>
        <w:ind w:left="720" w:hanging="720"/>
        <w:jc w:val="left"/>
      </w:pPr>
      <w:r>
        <w:rPr>
          <w:rFonts w:ascii="Times New Roman" w:hAnsi="Times New Roman"/>
          <w:sz w:val="24"/>
        </w:rPr>
        <w:t xml:space="preserve">Boehm, B. W. (1981). </w:t>
      </w:r>
      <w:r>
        <w:rPr>
          <w:rFonts w:ascii="Times New Roman" w:hAnsi="Times New Roman"/>
          <w:sz w:val="24"/>
        </w:rPr>
        <w:t>Software engineering economics. Prentice-Hall.</w:t>
      </w:r>
    </w:p>
    <w:p>
      <w:pPr>
        <w:spacing w:line="480" w:lineRule="auto" w:before="0" w:after="0"/>
        <w:ind w:left="720" w:hanging="720"/>
        <w:jc w:val="left"/>
      </w:pPr>
      <w:r>
        <w:rPr>
          <w:rFonts w:ascii="Times New Roman" w:hAnsi="Times New Roman"/>
          <w:sz w:val="24"/>
        </w:rPr>
        <w:t xml:space="preserve">Fowler, M. (2018). </w:t>
      </w:r>
      <w:r>
        <w:rPr>
          <w:rFonts w:ascii="Times New Roman" w:hAnsi="Times New Roman"/>
          <w:sz w:val="24"/>
        </w:rPr>
        <w:t>Refactoring: Improving the design of existing code (2nd ed.). Addison-Wesley Professional.</w:t>
      </w:r>
    </w:p>
    <w:p>
      <w:pPr>
        <w:spacing w:line="480" w:lineRule="auto" w:before="0" w:after="0"/>
        <w:ind w:left="720" w:hanging="720"/>
        <w:jc w:val="left"/>
      </w:pPr>
      <w:r>
        <w:rPr>
          <w:rFonts w:ascii="Times New Roman" w:hAnsi="Times New Roman"/>
          <w:sz w:val="24"/>
        </w:rPr>
        <w:t xml:space="preserve">JUnit Team. (2023). </w:t>
      </w:r>
      <w:r>
        <w:rPr>
          <w:rFonts w:ascii="Times New Roman" w:hAnsi="Times New Roman"/>
          <w:sz w:val="24"/>
        </w:rPr>
        <w:t>JUnit 5 user guide. https://junit.org/junit5/docs/current/user-guide/</w:t>
      </w:r>
    </w:p>
    <w:p>
      <w:pPr>
        <w:spacing w:line="480" w:lineRule="auto" w:before="0" w:after="0"/>
        <w:ind w:left="720" w:hanging="720"/>
        <w:jc w:val="left"/>
      </w:pPr>
      <w:r>
        <w:rPr>
          <w:rFonts w:ascii="Times New Roman" w:hAnsi="Times New Roman"/>
          <w:sz w:val="24"/>
        </w:rPr>
        <w:t xml:space="preserve">Martin, R. C. (2008). </w:t>
      </w:r>
      <w:r>
        <w:rPr>
          <w:rFonts w:ascii="Times New Roman" w:hAnsi="Times New Roman"/>
          <w:sz w:val="24"/>
        </w:rPr>
        <w:t>Clean code: A handbook of agile software craftsmanship. Prentice Hall.</w:t>
      </w:r>
    </w:p>
    <w:p>
      <w:pPr>
        <w:spacing w:line="480" w:lineRule="auto" w:before="0" w:after="0"/>
        <w:ind w:left="720" w:hanging="720"/>
        <w:jc w:val="left"/>
      </w:pPr>
      <w:r>
        <w:rPr>
          <w:rFonts w:ascii="Times New Roman" w:hAnsi="Times New Roman"/>
          <w:sz w:val="24"/>
        </w:rPr>
        <w:t xml:space="preserve">Myers, G. J., Sandler, C., &amp; Badgett, T. (2011). </w:t>
      </w:r>
      <w:r>
        <w:rPr>
          <w:rFonts w:ascii="Times New Roman" w:hAnsi="Times New Roman"/>
          <w:sz w:val="24"/>
        </w:rPr>
        <w:t>The art of software testing (3rd ed.). John Wiley &amp; Sons.</w:t>
      </w:r>
    </w:p>
    <w:p>
      <w:pPr>
        <w:spacing w:line="480" w:lineRule="auto" w:before="0" w:after="0"/>
        <w:ind w:left="720" w:hanging="720"/>
        <w:jc w:val="left"/>
      </w:pPr>
      <w:r>
        <w:rPr>
          <w:rFonts w:ascii="Times New Roman" w:hAnsi="Times New Roman"/>
          <w:sz w:val="24"/>
        </w:rPr>
        <w:t xml:space="preserve">Pressman, R. S., &amp; Maxim, B. R. (2020). </w:t>
      </w:r>
      <w:r>
        <w:rPr>
          <w:rFonts w:ascii="Times New Roman" w:hAnsi="Times New Roman"/>
          <w:sz w:val="24"/>
        </w:rPr>
        <w:t>Software engineering: A practitioner's approach (9th ed.). McGraw-Hill Education.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