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3B2A6B"/>
          <w:sz w:val="40"/>
          <w:szCs w:val="40"/>
        </w:rPr>
        <w:t xml:space="preserve">IFC to BoQ: Remaining Gaps</w:t>
      </w:r>
    </w:p>
    <w:p>
      <w:pPr>
        <w:pBdr>
          <w:bottom w:val="single" w:color="3B2A6B" w:sz="6" w:space="6"/>
        </w:pBdr>
        <w:spacing w:after="320"/>
      </w:pPr>
      <w:r>
        <w:rPr>
          <w:color w:val="595959"/>
          <w:sz w:val="22"/>
          <w:szCs w:val="22"/>
        </w:rPr>
        <w:t xml:space="preserve">The parts still needed beyond the six knowledge gaps to build a working, trusted tool</w:t>
      </w:r>
    </w:p>
    <w:p>
      <w:pPr>
        <w:spacing w:after="120"/>
      </w:pPr>
      <w:r>
        <w:t xml:space="preserve">The six knowledge gaps plus the parsing and verification logic form the core of a highly dynamic IFC-to-BoQ tool, because every rule lives in data rather than code. Ten further parts are needed: four to make it work at all, five for people to trust and use it on real projects, and one that is not technical.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4332"/>
        <w:gridCol w:w="2437"/>
        <w:gridCol w:w="1626"/>
      </w:tblGrid>
      <w:tr>
        <w:trPr>
          <w:tblHeader/>
        </w:trPr>
        <w:tc>
          <w:tcPr>
            <w:tcW w:type="dxa" w:w="631"/>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w:t>
            </w:r>
          </w:p>
        </w:tc>
        <w:tc>
          <w:tcPr>
            <w:tcW w:type="dxa" w:w="4332"/>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Part</w:t>
            </w:r>
          </w:p>
        </w:tc>
        <w:tc>
          <w:tcPr>
            <w:tcW w:type="dxa" w:w="2437"/>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Category</w:t>
            </w:r>
          </w:p>
        </w:tc>
        <w:tc>
          <w:tcPr>
            <w:tcW w:type="dxa" w:w="1626"/>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Priority</w:t>
            </w:r>
          </w:p>
        </w:tc>
      </w:tr>
      <w:tr>
        <w:tc>
          <w:tcPr>
            <w:tcW w:type="dxa" w:w="631"/>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1</w:t>
            </w:r>
          </w:p>
        </w:tc>
        <w:tc>
          <w:tcPr>
            <w:tcW w:type="dxa" w:w="4332"/>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Input requirements check (IDS)</w:t>
            </w:r>
          </w:p>
        </w:tc>
        <w:tc>
          <w:tcPr>
            <w:tcW w:type="dxa" w:w="2437"/>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Makes it work</w:t>
            </w:r>
          </w:p>
        </w:tc>
        <w:tc>
          <w:tcPr>
            <w:tcW w:type="dxa" w:w="1626"/>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Critical</w:t>
            </w:r>
          </w:p>
        </w:tc>
      </w:tr>
      <w:tr>
        <w:tc>
          <w:tcPr>
            <w:tcW w:type="dxa" w:w="631"/>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2</w:t>
            </w:r>
          </w:p>
        </w:tc>
        <w:tc>
          <w:tcPr>
            <w:tcW w:type="dxa" w:w="4332"/>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Multiple models at once</w:t>
            </w:r>
          </w:p>
        </w:tc>
        <w:tc>
          <w:tcPr>
            <w:tcW w:type="dxa" w:w="2437"/>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Makes it work</w:t>
            </w:r>
          </w:p>
        </w:tc>
        <w:tc>
          <w:tcPr>
            <w:tcW w:type="dxa" w:w="1626"/>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Critical</w:t>
            </w:r>
          </w:p>
        </w:tc>
      </w:tr>
      <w:tr>
        <w:tc>
          <w:tcPr>
            <w:tcW w:type="dxa" w:w="631"/>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3</w:t>
            </w:r>
          </w:p>
        </w:tc>
        <w:tc>
          <w:tcPr>
            <w:tcW w:type="dxa" w:w="4332"/>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Derived items rules</w:t>
            </w:r>
          </w:p>
        </w:tc>
        <w:tc>
          <w:tcPr>
            <w:tcW w:type="dxa" w:w="2437"/>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Makes it work</w:t>
            </w:r>
          </w:p>
        </w:tc>
        <w:tc>
          <w:tcPr>
            <w:tcW w:type="dxa" w:w="1626"/>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Critical</w:t>
            </w:r>
          </w:p>
        </w:tc>
      </w:tr>
      <w:tr>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4</w:t>
            </w:r>
          </w:p>
        </w:tc>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IFC version differences</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Makes it work</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Needed</w:t>
            </w:r>
          </w:p>
        </w:tc>
      </w:tr>
      <w:tr>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5</w:t>
            </w:r>
          </w:p>
        </w:tc>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Traceability with a 3D viewer</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Trust and adoption</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High</w:t>
            </w:r>
          </w:p>
        </w:tc>
      </w:tr>
      <w:tr>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6</w:t>
            </w:r>
          </w:p>
        </w:tc>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Model revisions and change tracking</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Trust and adoption</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High</w:t>
            </w:r>
          </w:p>
        </w:tc>
      </w:tr>
      <w:tr>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7</w:t>
            </w:r>
          </w:p>
        </w:tc>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Rule editor for experts</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Trust and adoption</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Needed</w:t>
            </w:r>
          </w:p>
        </w:tc>
      </w:tr>
      <w:tr>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8</w:t>
            </w:r>
          </w:p>
        </w:tc>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Location breakdown: storeys, rooms, zones, units</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Makes it work / adoption</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High</w:t>
            </w:r>
          </w:p>
        </w:tc>
      </w:tr>
      <w:tr>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w:t>
            </w:r>
          </w:p>
        </w:tc>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Export and integration</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Trust and adoption</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Needed</w:t>
            </w:r>
          </w:p>
        </w:tc>
      </w:tr>
      <w:tr>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w:t>
            </w:r>
          </w:p>
        </w:tc>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Professional responsibility</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Non-technical</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Needed</w:t>
            </w:r>
          </w:p>
        </w:tc>
      </w:tr>
    </w:tbl>
    <w:p>
      <w:pPr>
        <w:pStyle w:val="Heading1"/>
      </w:pPr>
      <w:r>
        <w:t xml:space="preserve">Parts that affect whether it works</w:t>
      </w:r>
    </w:p>
    <w:p>
      <w:pPr>
        <w:pStyle w:val="Heading2"/>
      </w:pPr>
      <w:r>
        <w:t xml:space="preserve">1. Input requirements check</w:t>
      </w:r>
    </w:p>
    <w:p>
      <w:pPr>
        <w:spacing w:after="120"/>
      </w:pPr>
      <w:r>
        <w:rPr>
          <w:b/>
          <w:bCs/>
        </w:rPr>
        <w:t xml:space="preserve">What it is: </w:t>
      </w:r>
      <w:r>
        <w:t xml:space="preserve">A defined minimum the IFC must meet before a BoQ can be produced (walls must have materials, doors must have sizes, and so on), checked automatically before anything runs.</w:t>
      </w:r>
    </w:p>
    <w:p>
      <w:pPr>
        <w:spacing w:after="120"/>
      </w:pPr>
      <w:r>
        <w:rPr>
          <w:b/>
          <w:bCs/>
        </w:rPr>
        <w:t xml:space="preserve">Why it matters: </w:t>
      </w:r>
      <w:r>
        <w:t xml:space="preserve">Not every IFC is good enough. Without a gate, poor models produce confident-looking but wrong bills.</w:t>
      </w:r>
    </w:p>
    <w:p>
      <w:pPr>
        <w:spacing w:after="120"/>
      </w:pPr>
      <w:r>
        <w:rPr>
          <w:b/>
          <w:bCs/>
        </w:rPr>
        <w:t xml:space="preserve">How to address it: </w:t>
      </w:r>
      <w:r>
        <w:t xml:space="preserve">Use IDS (Information Delivery Specification), the machine-readable buildingSMART standard for stating what an IFC must contain. Each rulebook preset ships with its own IDS; the pre-flight check runs it and reports failures alongside the review questions.</w:t>
      </w:r>
    </w:p>
    <w:p>
      <w:pPr>
        <w:pStyle w:val="Heading2"/>
      </w:pPr>
      <w:r>
        <w:t xml:space="preserve">2. Multiple models at once</w:t>
      </w:r>
    </w:p>
    <w:p>
      <w:pPr>
        <w:spacing w:after="120"/>
      </w:pPr>
      <w:r>
        <w:rPr>
          <w:b/>
          <w:bCs/>
        </w:rPr>
        <w:t xml:space="preserve">What it is: </w:t>
      </w:r>
      <w:r>
        <w:t xml:space="preserve">Real projects split the building into separate files for architecture, structure and installations (federated models).</w:t>
      </w:r>
    </w:p>
    <w:p>
      <w:pPr>
        <w:spacing w:after="120"/>
      </w:pPr>
      <w:r>
        <w:rPr>
          <w:b/>
          <w:bCs/>
        </w:rPr>
        <w:t xml:space="preserve">Why it matters: </w:t>
      </w:r>
      <w:r>
        <w:t xml:space="preserve">Models overlap: the architect and the structural engineer often both model the same concrete wall. Without ownership rules, elements are counted twice.</w:t>
      </w:r>
    </w:p>
    <w:p>
      <w:pPr>
        <w:spacing w:after="120"/>
      </w:pPr>
      <w:r>
        <w:rPr>
          <w:b/>
          <w:bCs/>
        </w:rPr>
        <w:t xml:space="preserve">How to address it: </w:t>
      </w:r>
      <w:r>
        <w:t xml:space="preserve">Define discipline ownership rules (e.g. load-bearing concrete belongs to the structural model), detect cross-model duplicates using the same solid-overlap checks used inside a single file, and report conflicts for review.</w:t>
      </w:r>
    </w:p>
    <w:p>
      <w:pPr>
        <w:pStyle w:val="Heading2"/>
      </w:pPr>
      <w:r>
        <w:t xml:space="preserve">3. Derived items rules</w:t>
      </w:r>
    </w:p>
    <w:p>
      <w:pPr>
        <w:spacing w:after="120"/>
      </w:pPr>
      <w:r>
        <w:rPr>
          <w:b/>
          <w:bCs/>
        </w:rPr>
        <w:t xml:space="preserve">What it is: </w:t>
      </w:r>
      <w:r>
        <w:t xml:space="preserve">Quantities for work that is not modelled as objects: excavation, formwork, reinforcement (often estimated as kg per m³ of concrete), skirtings, paint, waterproofing.</w:t>
      </w:r>
    </w:p>
    <w:p>
      <w:pPr>
        <w:spacing w:after="120"/>
      </w:pPr>
      <w:r>
        <w:rPr>
          <w:b/>
          <w:bCs/>
        </w:rPr>
        <w:t xml:space="preserve">Why it matters: </w:t>
      </w:r>
      <w:r>
        <w:t xml:space="preserve">A large share of a real BoQ is derived rather than modelled. This is where most of a quantity surveyor’s judgement lives.</w:t>
      </w:r>
    </w:p>
    <w:p>
      <w:pPr>
        <w:spacing w:after="120"/>
      </w:pPr>
      <w:r>
        <w:rPr>
          <w:b/>
          <w:bCs/>
        </w:rPr>
        <w:t xml:space="preserve">How to address it: </w:t>
      </w:r>
      <w:r>
        <w:t xml:space="preserve">A rules system of the form "if this exists, generate that item with this formula", with formulas and factors as editable parameters per preset. Every derived line is marked as derived and shows its formula.</w:t>
      </w:r>
    </w:p>
    <w:p>
      <w:pPr>
        <w:pStyle w:val="Heading2"/>
      </w:pPr>
      <w:r>
        <w:t xml:space="preserve">4. IFC version differences</w:t>
      </w:r>
    </w:p>
    <w:p>
      <w:pPr>
        <w:spacing w:after="120"/>
      </w:pPr>
      <w:r>
        <w:rPr>
          <w:b/>
          <w:bCs/>
        </w:rPr>
        <w:t xml:space="preserve">What it is: </w:t>
      </w:r>
      <w:r>
        <w:t xml:space="preserve">IFC2x3, IFC4 and IFC4.3 store some information differently, including how quantities and materials are attached.</w:t>
      </w:r>
    </w:p>
    <w:p>
      <w:pPr>
        <w:spacing w:after="120"/>
      </w:pPr>
      <w:r>
        <w:rPr>
          <w:b/>
          <w:bCs/>
        </w:rPr>
        <w:t xml:space="preserve">Why it matters: </w:t>
      </w:r>
      <w:r>
        <w:t xml:space="preserve">A parser tested on one version silently loses data on another.</w:t>
      </w:r>
    </w:p>
    <w:p>
      <w:pPr>
        <w:spacing w:after="120"/>
      </w:pPr>
      <w:r>
        <w:rPr>
          <w:b/>
          <w:bCs/>
        </w:rPr>
        <w:t xml:space="preserve">How to address it: </w:t>
      </w:r>
      <w:r>
        <w:t xml:space="preserve">Normalise every version into the same internal record during extraction, and keep test files for each version in the test suite.</w:t>
      </w:r>
    </w:p>
    <w:p>
      <w:pPr>
        <w:pStyle w:val="Heading1"/>
      </w:pPr>
      <w:r>
        <w:t xml:space="preserve">Parts that affect whether people trust and use it</w:t>
      </w:r>
    </w:p>
    <w:p>
      <w:pPr>
        <w:pStyle w:val="Heading2"/>
      </w:pPr>
      <w:r>
        <w:t xml:space="preserve">5. Traceability with a 3D viewer</w:t>
      </w:r>
    </w:p>
    <w:p>
      <w:pPr>
        <w:spacing w:after="120"/>
      </w:pPr>
      <w:r>
        <w:rPr>
          <w:b/>
          <w:bCs/>
        </w:rPr>
        <w:t xml:space="preserve">What it is: </w:t>
      </w:r>
      <w:r>
        <w:t xml:space="preserve">Click a BoQ line to see the elements behind it highlighted in 3D; click an element to see which lines it feeds.</w:t>
      </w:r>
    </w:p>
    <w:p>
      <w:pPr>
        <w:spacing w:after="120"/>
      </w:pPr>
      <w:r>
        <w:rPr>
          <w:b/>
          <w:bCs/>
        </w:rPr>
        <w:t xml:space="preserve">Why it matters: </w:t>
      </w:r>
      <w:r>
        <w:t xml:space="preserve">Professionals do not trust numbers they cannot trace. This is the single strongest adoption feature.</w:t>
      </w:r>
    </w:p>
    <w:p>
      <w:pPr>
        <w:spacing w:after="120"/>
      </w:pPr>
      <w:r>
        <w:rPr>
          <w:b/>
          <w:bCs/>
        </w:rPr>
        <w:t xml:space="preserve">How to address it: </w:t>
      </w:r>
      <w:r>
        <w:t xml:space="preserve">Keep the element-to-line links already present in the register; build the viewer on existing open-source web IFC viewers (web-ifc / That Open Engine, xeokit). This is UI work, not research.</w:t>
      </w:r>
    </w:p>
    <w:p>
      <w:pPr>
        <w:pStyle w:val="Heading2"/>
      </w:pPr>
      <w:r>
        <w:t xml:space="preserve">6. Model revisions and change tracking</w:t>
      </w:r>
    </w:p>
    <w:p>
      <w:pPr>
        <w:spacing w:after="120"/>
      </w:pPr>
      <w:r>
        <w:rPr>
          <w:b/>
          <w:bCs/>
        </w:rPr>
        <w:t xml:space="preserve">What it is: </w:t>
      </w:r>
      <w:r>
        <w:t xml:space="preserve">Re-running the tool on a new version of the model and showing what changed against the previous one.</w:t>
      </w:r>
    </w:p>
    <w:p>
      <w:pPr>
        <w:spacing w:after="120"/>
      </w:pPr>
      <w:r>
        <w:rPr>
          <w:b/>
          <w:bCs/>
        </w:rPr>
        <w:t xml:space="preserve">Why it matters: </w:t>
      </w:r>
      <w:r>
        <w:t xml:space="preserve">Models change weekly. Without this, users re-answer the same review questions on every update and cannot see the cost impact of design changes.</w:t>
      </w:r>
    </w:p>
    <w:p>
      <w:pPr>
        <w:spacing w:after="120"/>
      </w:pPr>
      <w:r>
        <w:rPr>
          <w:b/>
          <w:bCs/>
        </w:rPr>
        <w:t xml:space="preserve">How to address it: </w:t>
      </w:r>
      <w:r>
        <w:t xml:space="preserve">Match elements across versions by their permanent IFC identifier (GlobalId), carry over all user decisions, and produce a change report: added, removed, and changed quantities per BoQ line.</w:t>
      </w:r>
    </w:p>
    <w:p>
      <w:pPr>
        <w:pStyle w:val="Heading2"/>
      </w:pPr>
      <w:r>
        <w:t xml:space="preserve">7. Rule editor for experts</w:t>
      </w:r>
    </w:p>
    <w:p>
      <w:pPr>
        <w:spacing w:after="120"/>
      </w:pPr>
      <w:r>
        <w:rPr>
          <w:b/>
          <w:bCs/>
        </w:rPr>
        <w:t xml:space="preserve">What it is: </w:t>
      </w:r>
      <w:r>
        <w:t xml:space="preserve">An interface for maintaining rulebook presets, derived-item rules and libraries.</w:t>
      </w:r>
    </w:p>
    <w:p>
      <w:pPr>
        <w:spacing w:after="120"/>
      </w:pPr>
      <w:r>
        <w:rPr>
          <w:b/>
          <w:bCs/>
        </w:rPr>
        <w:t xml:space="preserve">Why it matters: </w:t>
      </w:r>
      <w:r>
        <w:t xml:space="preserve">Presets are maintained by quantity surveyors, not programmers. If every rule change needs a developer, the tool cannot scale across standards.</w:t>
      </w:r>
    </w:p>
    <w:p>
      <w:pPr>
        <w:spacing w:after="120"/>
      </w:pPr>
      <w:r>
        <w:rPr>
          <w:b/>
          <w:bCs/>
        </w:rPr>
        <w:t xml:space="preserve">How to address it: </w:t>
      </w:r>
      <w:r>
        <w:t xml:space="preserve">Form-based editing of parameters and formulas, a test run against a sample model before publishing, and versioning so any BoQ records which rule version produced it.</w:t>
      </w:r>
    </w:p>
    <w:p>
      <w:pPr>
        <w:pStyle w:val="Heading2"/>
      </w:pPr>
      <w:r>
        <w:t xml:space="preserve">8. Location breakdown: storeys, rooms, zones, units</w:t>
      </w:r>
    </w:p>
    <w:p>
      <w:pPr>
        <w:spacing w:after="120"/>
      </w:pPr>
      <w:r>
        <w:rPr>
          <w:b/>
          <w:bCs/>
        </w:rPr>
        <w:t xml:space="preserve">What it is: </w:t>
      </w:r>
      <w:r>
        <w:t xml:space="preserve">Every quantity is kept with its location (site, building, storey, room or space, zone, residential unit, construction phase) so the BoQ can be split and subtotalled by any of them, in addition to grouping by element or trade.</w:t>
      </w:r>
    </w:p>
    <w:p>
      <w:pPr>
        <w:spacing w:after="120"/>
      </w:pPr>
      <w:r>
        <w:rPr>
          <w:b/>
          <w:bCs/>
        </w:rPr>
        <w:t xml:space="preserve">Why it matters: </w:t>
      </w:r>
      <w:r>
        <w:t xml:space="preserve">Contractors price and schedule work floor by floor; phased projects, multi-building sites and unit-level costing (e.g. per apartment) all need it; finishes are specified per room; payment claims are usually measured by area of the building. A BoQ that only gives building-wide totals is often unusable on site.</w:t>
      </w:r>
    </w:p>
    <w:p>
      <w:pPr>
        <w:spacing w:after="120"/>
      </w:pPr>
      <w:r>
        <w:rPr>
          <w:b/>
          <w:bCs/>
        </w:rPr>
        <w:t xml:space="preserve">How to address it: </w:t>
      </w:r>
      <w:r>
        <w:t xml:space="preserve">Carry each element’s spatial containment (IfcSite, IfcBuilding, IfcBuildingStorey, IfcSpace, IfcZone) through the whole pipeline and expose location as a switchable view axis. Handle the awkward cases explicitly: elements spanning several storeys (columns, stair cores, curtain walls) need a rule (split by height, or assign to base storey); elements contained only at storey level need assigning to rooms by geometry.</w:t>
      </w:r>
    </w:p>
    <w:p>
      <w:pPr>
        <w:spacing w:after="120"/>
      </w:pPr>
      <w:r>
        <w:rPr>
          <w:b/>
          <w:bCs/>
        </w:rPr>
        <w:t xml:space="preserve">Room-based finishes (part of this item). </w:t>
      </w:r>
      <w:r>
        <w:t xml:space="preserve">Many finishes depend on the room, not the element: bathroom walls tiled to a set height and painted above, or the two faces of one wall finished differently because they face different rooms. This requires knowing which face of each wall, floor and ceiling bounds which room. IFC can carry this as space boundaries (IfcRelSpaceBoundary), but many exports omit them, so the engine must be able to compute room-face relationships from geometry. Without it, finishes can only be measured as building-wide totals.</w:t>
      </w:r>
    </w:p>
    <w:p>
      <w:pPr>
        <w:spacing w:after="120"/>
      </w:pPr>
      <w:r>
        <w:rPr>
          <w:b/>
          <w:bCs/>
        </w:rPr>
        <w:t xml:space="preserve">Note on priority: </w:t>
      </w:r>
      <w:r>
        <w:t xml:space="preserve">splitting by storey and room is a presentation choice, but room-based finishes change the numbers themselves, which is why this item is rated High rather than Needed.</w:t>
      </w:r>
    </w:p>
    <w:p>
      <w:pPr>
        <w:pStyle w:val="Heading2"/>
      </w:pPr>
      <w:r>
        <w:t xml:space="preserve">9. Export and integration</w:t>
      </w:r>
    </w:p>
    <w:p>
      <w:pPr>
        <w:spacing w:after="120"/>
      </w:pPr>
      <w:r>
        <w:rPr>
          <w:b/>
          <w:bCs/>
        </w:rPr>
        <w:t xml:space="preserve">What it is: </w:t>
      </w:r>
      <w:r>
        <w:t xml:space="preserve">Output formats beyond the spreadsheet, and the next step users expect: pricing.</w:t>
      </w:r>
    </w:p>
    <w:p>
      <w:pPr>
        <w:spacing w:after="120"/>
      </w:pPr>
      <w:r>
        <w:rPr>
          <w:b/>
          <w:bCs/>
        </w:rPr>
        <w:t xml:space="preserve">Why it matters: </w:t>
      </w:r>
      <w:r>
        <w:t xml:space="preserve">Some markets and software expect standard exchange formats; users will want to attach rates once quantities exist.</w:t>
      </w:r>
    </w:p>
    <w:p>
      <w:pPr>
        <w:spacing w:after="120"/>
      </w:pPr>
      <w:r>
        <w:rPr>
          <w:b/>
          <w:bCs/>
        </w:rPr>
        <w:t xml:space="preserve">How to address it: </w:t>
      </w:r>
      <w:r>
        <w:t xml:space="preserve">Spreadsheet export first; then standard formats where markets require them (GAEB, ÖNORM A 2063, IFC cost schedules, CSV for estimating software). Keep pricing a separate step that reads the BoQ.</w:t>
      </w:r>
    </w:p>
    <w:p>
      <w:pPr>
        <w:pStyle w:val="Heading1"/>
      </w:pPr>
      <w:r>
        <w:t xml:space="preserve">Non-technical</w:t>
      </w:r>
    </w:p>
    <w:p>
      <w:pPr>
        <w:pStyle w:val="Heading2"/>
      </w:pPr>
      <w:r>
        <w:t xml:space="preserve">10. Professional responsibility</w:t>
      </w:r>
    </w:p>
    <w:p>
      <w:pPr>
        <w:spacing w:after="120"/>
      </w:pPr>
      <w:r>
        <w:rPr>
          <w:b/>
          <w:bCs/>
        </w:rPr>
        <w:t xml:space="preserve">What it is: </w:t>
      </w:r>
      <w:r>
        <w:t xml:space="preserve">A BoQ is used in contracts and tenders, so a qualified person must sign it off.</w:t>
      </w:r>
    </w:p>
    <w:p>
      <w:pPr>
        <w:spacing w:after="120"/>
      </w:pPr>
      <w:r>
        <w:rPr>
          <w:b/>
          <w:bCs/>
        </w:rPr>
        <w:t xml:space="preserve">Why it matters: </w:t>
      </w:r>
      <w:r>
        <w:t xml:space="preserve">Liability sits with the professional, not the software. Presenting output as final invites risk and erodes trust.</w:t>
      </w:r>
    </w:p>
    <w:p>
      <w:pPr>
        <w:spacing w:after="120"/>
      </w:pPr>
      <w:r>
        <w:rPr>
          <w:b/>
          <w:bCs/>
        </w:rPr>
        <w:t xml:space="preserve">How to address it: </w:t>
      </w:r>
      <w:r>
        <w:t xml:space="preserve">Position the output as a draft for professional approval. The audit trail (sources, assumptions, review decisions, rule versions) is what makes sign-off fast and defensible.</w:t>
      </w:r>
    </w:p>
    <w:p>
      <w:pPr>
        <w:pStyle w:val="Heading1"/>
      </w:pPr>
      <w:r>
        <w:t xml:space="preserve">Priority</w:t>
      </w:r>
    </w:p>
    <w:p>
      <w:pPr>
        <w:spacing w:after="120"/>
      </w:pPr>
      <w:r>
        <w:rPr>
          <w:b/>
          <w:bCs/>
        </w:rPr>
        <w:t xml:space="preserve">Critical: 1, 2, 3. </w:t>
      </w:r>
      <w:r>
        <w:t xml:space="preserve">Without them the tool cannot trust its input, counts elements twice, or misses a large part of the bill.</w:t>
      </w:r>
    </w:p>
    <w:p>
      <w:pPr>
        <w:spacing w:after="120"/>
      </w:pPr>
      <w:r>
        <w:rPr>
          <w:b/>
          <w:bCs/>
        </w:rPr>
        <w:t xml:space="preserve">High: 5, 6, 8. </w:t>
      </w:r>
      <w:r>
        <w:t xml:space="preserve">Without traceability, revision handling and location breakdown (including room-based finishes), nobody adopts it for daily work.</w:t>
      </w:r>
    </w:p>
    <w:p>
      <w:pPr>
        <w:spacing w:after="120"/>
      </w:pPr>
      <w:r>
        <w:rPr>
          <w:b/>
          <w:bCs/>
        </w:rPr>
        <w:t xml:space="preserve">Needed: 4, 7, 9, 10. </w:t>
      </w:r>
      <w:r>
        <w:t xml:space="preserve">Normal product work, required before a commercial release.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IFC to BoQ: Remaining Gaps  ·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3B2A6B"/>
      <w:sz w:val="30"/>
      <w:szCs w:val="30"/>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2026-10-03T20:19:22.534Z</dcterms:created>
  <dcterms:modified xsi:type="dcterms:W3CDTF">2026-10-03T20:19:22.534Z</dcterms:modified>
</cp:coreProperties>
</file>

<file path=docProps/custom.xml><?xml version="1.0" encoding="utf-8"?>
<Properties xmlns="http://schemas.openxmlformats.org/officeDocument/2006/custom-properties" xmlns:vt="http://schemas.openxmlformats.org/officeDocument/2006/docPropsVTypes"/>
</file>