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B2A6B"/>
          <w:sz w:val="40"/>
          <w:szCs w:val="40"/>
        </w:rPr>
        <w:t xml:space="preserve">IFC to BoQ: The Six Knowledge Gaps</w:t>
      </w:r>
    </w:p>
    <w:p>
      <w:pPr>
        <w:pBdr>
          <w:bottom w:val="single" w:color="3B2A6B" w:sz="6" w:space="6"/>
        </w:pBdr>
        <w:spacing w:after="320"/>
      </w:pPr>
      <w:r>
        <w:rPr>
          <w:color w:val="595959"/>
          <w:sz w:val="22"/>
          <w:szCs w:val="22"/>
        </w:rPr>
        <w:t xml:space="preserve">What a dynamic IFC-to-BoQ tool needs beyond parsing, what exists internationally, and who fills each gap</w:t>
      </w:r>
    </w:p>
    <w:p>
      <w:pPr>
        <w:spacing w:after="120"/>
      </w:pPr>
      <w:r>
        <w:t xml:space="preserve">Reading an IFC file and measuring its geometry is a solved technical problem: open-source tools parse every element, compute volumes and areas, and verify what the authoring software claims. The gaps that remain are mostly knowledge, not code. This document describes the six pieces of knowledge an IFC-to-BoQ tool needs, what exists for each internationally, and who has to supply what is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256"/>
        <w:gridCol w:w="3339"/>
        <w:gridCol w:w="2980"/>
      </w:tblGrid>
      <w:tr>
        <w:trPr>
          <w:tblHeader/>
        </w:trPr>
        <w:tc>
          <w:tcPr>
            <w:tcW w:type="dxa" w:w="451"/>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t>
            </w:r>
          </w:p>
        </w:tc>
        <w:tc>
          <w:tcPr>
            <w:tcW w:type="dxa" w:w="225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Gap</w:t>
            </w:r>
          </w:p>
        </w:tc>
        <w:tc>
          <w:tcPr>
            <w:tcW w:type="dxa" w:w="3339"/>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What it controls</w:t>
            </w:r>
          </w:p>
        </w:tc>
        <w:tc>
          <w:tcPr>
            <w:tcW w:type="dxa" w:w="2980"/>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Who fills it</w:t>
            </w:r>
          </w:p>
        </w:tc>
      </w:tr>
      <w:t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Measurement rulebooks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How quantities are calculated (changes the numbers)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Domain expert translating standards into settings</w:t>
            </w:r>
          </w:p>
        </w:tc>
      </w:tr>
      <w:t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Classification systems</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Labels and codes (never changes numbers)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Download and load existing code lists</w:t>
            </w:r>
          </w:p>
        </w:tc>
      </w:tr>
      <w:t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Naming dictionary</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Recognising what each element actually is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Seeded from public sources, grown by users</w:t>
            </w:r>
          </w:p>
        </w:tc>
      </w:tr>
      <w:t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Item library</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Turning a recognised element into a BoQ line</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Seeded per standard, extended by companies and clients</w:t>
            </w:r>
          </w:p>
        </w:tc>
      </w:tr>
      <w:t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or broken model data</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Whether the input can support the output</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Mostly the engine; partly the user</w:t>
            </w:r>
          </w:p>
        </w:tc>
      </w:tr>
      <w:tr>
        <w:tc>
          <w:tcPr>
            <w:tcW w:type="dxa" w:w="4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Answer key</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Proof that the output is correct</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Developer, against professionally measured projects</w:t>
            </w:r>
          </w:p>
        </w:tc>
      </w:tr>
    </w:tbl>
    <w:p>
      <w:pPr>
        <w:pStyle w:val="Heading1"/>
      </w:pPr>
      <w:r>
        <w:t xml:space="preserve">1. Measurement rulebooks</w:t>
      </w:r>
    </w:p>
    <w:p>
      <w:pPr>
        <w:spacing w:after="120"/>
      </w:pPr>
      <w:r>
        <w:t xml:space="preserve">A rulebook (method of measurement) decides the unit for each kind of work, what is deducted (for example, openings below a certain size), what each item includes (for example, whether formwork is separate from concrete), which face or centreline is measured, and rounding. Applying a different rulebook to the same file produces different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2888"/>
        <w:gridCol w:w="902"/>
        <w:gridCol w:w="1626"/>
      </w:tblGrid>
      <w:tr>
        <w:trPr>
          <w:tblHeader/>
        </w:trPr>
        <w:tc>
          <w:tcPr>
            <w:tcW w:type="dxa" w:w="216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Rulebook</w:t>
            </w:r>
          </w:p>
        </w:tc>
        <w:tc>
          <w:tcPr>
            <w:tcW w:type="dxa" w:w="1444"/>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Region</w:t>
            </w:r>
          </w:p>
        </w:tc>
        <w:tc>
          <w:tcPr>
            <w:tcW w:type="dxa" w:w="2888"/>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Used for</w:t>
            </w:r>
          </w:p>
        </w:tc>
        <w:tc>
          <w:tcPr>
            <w:tcW w:type="dxa" w:w="902"/>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Access</w:t>
            </w:r>
          </w:p>
        </w:tc>
        <w:tc>
          <w:tcPr>
            <w:tcW w:type="dxa" w:w="162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Realistic pick?</w:t>
            </w:r>
          </w:p>
        </w:tc>
      </w:tr>
      <w:tr>
        <w:tc>
          <w:tcPr>
            <w:tcW w:type="dxa" w:w="216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NRM2 (RICS)</w:t>
            </w:r>
          </w:p>
        </w:tc>
        <w:tc>
          <w:tcPr>
            <w:tcW w:type="dxa" w:w="144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UK, Commonwealth, Middle East</w:t>
            </w:r>
          </w:p>
        </w:tc>
        <w:tc>
          <w:tcPr>
            <w:tcW w:type="dxa" w:w="288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Detailed BoQs for building works; main UK standard</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international reference</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NRM1 (RICS)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UK</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Early cost estimates by building element</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SMM7</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UK (legacy)</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Older detailed method, replaced by NRM2</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CESMM4 (ICE)</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UK</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Civil engineering works, not buildings</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VOB Part C (DIN 18299 + trade parts)</w:t>
            </w:r>
          </w:p>
        </w:tc>
        <w:tc>
          <w:tcPr>
            <w:tcW w:type="dxa" w:w="144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Germany</w:t>
            </w:r>
          </w:p>
        </w:tc>
        <w:tc>
          <w:tcPr>
            <w:tcW w:type="dxa" w:w="288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Trade-specific measurement rules; Central European reference</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DACH markets</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ÖNORM B 22xx series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Austria</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Trade contract standards incl. measurement (verify details)</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CIQS Method of Measurement</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Canada</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Canadian measurement method</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single standard</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USA</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Firm practice; organised by MasterFormat</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Regional legacy norms (e.g. ex-Yugoslav GN norms)</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Various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Older national norms still referenced in contracts</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Scattered</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16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"As modelled"</w:t>
            </w:r>
          </w:p>
        </w:tc>
        <w:tc>
          <w:tcPr>
            <w:tcW w:type="dxa" w:w="144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Anywhere</w:t>
            </w:r>
          </w:p>
        </w:tc>
        <w:tc>
          <w:tcPr>
            <w:tcW w:type="dxa" w:w="288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Net quantities straight from the model, no standard applied</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default base</w:t>
            </w:r>
          </w:p>
        </w:tc>
      </w:tr>
      <w:tr>
        <w:tc>
          <w:tcPr>
            <w:tcW w:type="dxa" w:w="216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Client / tender template</w:t>
            </w:r>
          </w:p>
        </w:tc>
        <w:tc>
          <w:tcPr>
            <w:tcW w:type="dxa" w:w="144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Anywhere</w:t>
            </w:r>
          </w:p>
        </w:tc>
        <w:tc>
          <w:tcPr>
            <w:tcW w:type="dxa" w:w="288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Client dictates rules and format; common in public procurement</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From client</w:t>
            </w:r>
          </w:p>
        </w:tc>
        <w:tc>
          <w:tcPr>
            <w:tcW w:type="dxa" w:w="162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always needed</w:t>
            </w:r>
          </w:p>
        </w:tc>
      </w:tr>
    </w:tbl>
    <w:p>
      <w:pPr>
        <w:pBdr>
          <w:left w:val="single" w:color="3B2A6B" w:sz="18" w:space="8"/>
        </w:pBdr>
        <w:spacing w:after="160" w:before="120"/>
        <w:ind w:left="240"/>
      </w:pPr>
      <w:r>
        <w:rPr>
          <w:b/>
          <w:bCs/>
        </w:rPr>
        <w:t xml:space="preserve">The real gap: </w:t>
      </w:r>
      <w:r>
        <w:t xml:space="preserve">none of these rulebooks exist in machine-readable form. They are prose documents. Someone with quantity-surveying expertise has to translate each one into parameters, for example "deduct openings larger than X m²", "masonry thicker than Y in m³", "formwork measured separately: yes". A rulebook preset is a bundle of dozens of such parameters, which users can then adjust.</w:t>
      </w:r>
    </w:p>
    <w:p>
      <w:pPr>
        <w:pStyle w:val="Heading1"/>
      </w:pPr>
      <w:r>
        <w:t xml:space="preserve">2. Classification systems</w:t>
      </w:r>
    </w:p>
    <w:p>
      <w:pPr>
        <w:spacing w:after="120"/>
      </w:pPr>
      <w:r>
        <w:t xml:space="preserve">A classification system assigns codes and names to items and decides which bucket they fall in. It never changes a quantity. Classifications are independent of rulebooks: you can measure under one standard and label with another country’s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353"/>
        <w:gridCol w:w="2978"/>
        <w:gridCol w:w="902"/>
        <w:gridCol w:w="1447"/>
      </w:tblGrid>
      <w:tr>
        <w:trPr>
          <w:tblHeader/>
        </w:trPr>
        <w:tc>
          <w:tcPr>
            <w:tcW w:type="dxa" w:w="2346"/>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System</w:t>
            </w:r>
          </w:p>
        </w:tc>
        <w:tc>
          <w:tcPr>
            <w:tcW w:type="dxa" w:w="135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Region</w:t>
            </w:r>
          </w:p>
        </w:tc>
        <w:tc>
          <w:tcPr>
            <w:tcW w:type="dxa" w:w="2978"/>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Organised by</w:t>
            </w:r>
          </w:p>
        </w:tc>
        <w:tc>
          <w:tcPr>
            <w:tcW w:type="dxa" w:w="902"/>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Access</w:t>
            </w:r>
          </w:p>
        </w:tc>
        <w:tc>
          <w:tcPr>
            <w:tcW w:type="dxa" w:w="144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Realistic pick?</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Uniclass 2015 (NBS)</w:t>
            </w:r>
          </w:p>
        </w:tc>
        <w:tc>
          <w:tcPr>
            <w:tcW w:type="dxa" w:w="135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UK</w:t>
            </w:r>
          </w:p>
        </w:tc>
        <w:tc>
          <w:tcPr>
            <w:tcW w:type="dxa" w:w="297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Multiple tables: elements, systems, products, spaces</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w:t>
            </w:r>
          </w:p>
        </w:tc>
        <w:tc>
          <w:tcPr>
            <w:tcW w:type="dxa" w:w="144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well documented</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NRM1 element groups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UK</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Building parts (substructure, frame, roof…)</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 (in NRM1)</w:t>
            </w:r>
          </w:p>
        </w:tc>
        <w:tc>
          <w:tcPr>
            <w:tcW w:type="dxa" w:w="1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ICMS</w:t>
            </w:r>
          </w:p>
        </w:tc>
        <w:tc>
          <w:tcPr>
            <w:tcW w:type="dxa" w:w="135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International</w:t>
            </w:r>
          </w:p>
        </w:tc>
        <w:tc>
          <w:tcPr>
            <w:tcW w:type="dxa" w:w="297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Cost reporting across countries and project types</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w:t>
            </w:r>
          </w:p>
        </w:tc>
        <w:tc>
          <w:tcPr>
            <w:tcW w:type="dxa" w:w="144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neutral international</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OmniClass</w:t>
            </w:r>
          </w:p>
        </w:tc>
        <w:tc>
          <w:tcPr>
            <w:tcW w:type="dxa" w:w="135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North America</w:t>
            </w:r>
          </w:p>
        </w:tc>
        <w:tc>
          <w:tcPr>
            <w:tcW w:type="dxa" w:w="297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15 tables (spaces, elements, work results, products)</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w:t>
            </w:r>
          </w:p>
        </w:tc>
        <w:tc>
          <w:tcPr>
            <w:tcW w:type="dxa" w:w="144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North America</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UniFormat (CSI / ASTM UniFormat II)</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North America</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Building elements, for early estimates</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1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MasterFormat (CSI)</w:t>
            </w:r>
          </w:p>
        </w:tc>
        <w:tc>
          <w:tcPr>
            <w:tcW w:type="dxa" w:w="135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North America</w:t>
            </w:r>
          </w:p>
        </w:tc>
        <w:tc>
          <w:tcPr>
            <w:tcW w:type="dxa" w:w="297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Trades / work results, 50 divisions</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Paid</w:t>
            </w:r>
          </w:p>
        </w:tc>
        <w:tc>
          <w:tcPr>
            <w:tcW w:type="dxa" w:w="144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US bids and specs</w:t>
            </w:r>
          </w:p>
        </w:tc>
      </w:tr>
      <w:tr>
        <w:tc>
          <w:tcPr>
            <w:tcW w:type="dxa" w:w="2346"/>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DIN 276</w:t>
            </w:r>
          </w:p>
        </w:tc>
        <w:tc>
          <w:tcPr>
            <w:tcW w:type="dxa" w:w="135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Germany / DACH</w:t>
            </w:r>
          </w:p>
        </w:tc>
        <w:tc>
          <w:tcPr>
            <w:tcW w:type="dxa" w:w="2978"/>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Cost groups 100–800</w:t>
            </w:r>
          </w:p>
        </w:tc>
        <w:tc>
          <w:tcPr>
            <w:tcW w:type="dxa" w:w="902"/>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Paid</w:t>
            </w:r>
          </w:p>
        </w:tc>
        <w:tc>
          <w:tcPr>
            <w:tcW w:type="dxa" w:w="144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DACH markets</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CCI / CoClass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Nordics, growing</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Modern, object-based, BIM-oriented</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Mostly free</w:t>
            </w:r>
          </w:p>
        </w:tc>
        <w:tc>
          <w:tcPr>
            <w:tcW w:type="dxa" w:w="1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National trade-section conventions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Many countries</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Chapters by type of work, without an official code list</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Convention</w:t>
            </w:r>
          </w:p>
        </w:tc>
        <w:tc>
          <w:tcPr>
            <w:tcW w:type="dxa" w:w="1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IFC classes + bSDD</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International</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Shared language other systems map onto</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Free</w:t>
            </w:r>
          </w:p>
        </w:tc>
        <w:tc>
          <w:tcPr>
            <w:tcW w:type="dxa" w:w="1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(internal)</w:t>
            </w:r>
          </w:p>
        </w:tc>
      </w:tr>
    </w:tbl>
    <w:p>
      <w:pPr>
        <w:pBdr>
          <w:left w:val="single" w:color="3B2A6B" w:sz="18" w:space="8"/>
        </w:pBdr>
        <w:spacing w:after="160" w:before="120"/>
        <w:ind w:left="240"/>
      </w:pPr>
      <w:r>
        <w:rPr>
          <w:b/>
          <w:bCs/>
        </w:rPr>
        <w:t xml:space="preserve">Gap size: </w:t>
      </w:r>
      <w:r>
        <w:t xml:space="preserve">small. These are code lists that can be downloaded, loaded and mapped once.</w:t>
      </w:r>
    </w:p>
    <w:p>
      <w:pPr>
        <w:pStyle w:val="Heading1"/>
      </w:pPr>
      <w:r>
        <w:t xml:space="preserve">3. Naming dictionary</w:t>
      </w:r>
    </w:p>
    <w:p>
      <w:pPr>
        <w:spacing w:after="120"/>
      </w:pPr>
      <w:r>
        <w:t xml:space="preserve">Element and material names in IFC are free text. The same material may appear as "Concrete", "Concrete - Cast In Situ", "BETON", "C25/30" or an office abbreviation. The naming dictionary turns all of these into one meaning.</w:t>
      </w:r>
    </w:p>
    <w:p>
      <w:pPr>
        <w:pStyle w:val="Heading2"/>
      </w:pPr>
      <w:r>
        <w:t xml:space="preserve">What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3429"/>
        <w:gridCol w:w="1173"/>
        <w:gridCol w:w="1083"/>
        <w:gridCol w:w="904"/>
      </w:tblGrid>
      <w:tr>
        <w:trPr>
          <w:tblHeader/>
        </w:trPr>
        <w:tc>
          <w:tcPr>
            <w:tcW w:type="dxa" w:w="243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Resource</w:t>
            </w:r>
          </w:p>
        </w:tc>
        <w:tc>
          <w:tcPr>
            <w:tcW w:type="dxa" w:w="3429"/>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What it is</w:t>
            </w:r>
          </w:p>
        </w:tc>
        <w:tc>
          <w:tcPr>
            <w:tcW w:type="dxa" w:w="117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Official?</w:t>
            </w:r>
          </w:p>
        </w:tc>
        <w:tc>
          <w:tcPr>
            <w:tcW w:type="dxa" w:w="108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Access</w:t>
            </w:r>
          </w:p>
        </w:tc>
        <w:tc>
          <w:tcPr>
            <w:tcW w:type="dxa" w:w="904"/>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Key start?</w:t>
            </w:r>
          </w:p>
        </w:tc>
      </w:tr>
      <w:tr>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bSDD (buildingSMART Data Dictionary)</w:t>
            </w:r>
          </w:p>
        </w:tc>
        <w:tc>
          <w:tcPr>
            <w:tcW w:type="dxa" w:w="3429"/>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Multilingual dictionary of building concepts and properties; hosts classifications</w:t>
            </w:r>
          </w:p>
        </w:tc>
        <w:tc>
          <w:tcPr>
            <w:tcW w:type="dxa" w:w="11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buildingSMART</w:t>
            </w:r>
          </w:p>
        </w:tc>
        <w:tc>
          <w:tcPr>
            <w:tcW w:type="dxa" w:w="108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 API</w:t>
            </w:r>
          </w:p>
        </w:tc>
        <w:tc>
          <w:tcPr>
            <w:tcW w:type="dxa" w:w="90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w:t>
            </w:r>
          </w:p>
        </w:tc>
      </w:tr>
      <w:tr>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IFC schema (ISO 16739)</w:t>
            </w:r>
          </w:p>
        </w:tc>
        <w:tc>
          <w:tcPr>
            <w:tcW w:type="dxa" w:w="3429"/>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Standard element types with definitions</w:t>
            </w:r>
          </w:p>
        </w:tc>
        <w:tc>
          <w:tcPr>
            <w:tcW w:type="dxa" w:w="11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w:t>
            </w:r>
          </w:p>
        </w:tc>
        <w:tc>
          <w:tcPr>
            <w:tcW w:type="dxa" w:w="108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w:t>
            </w:r>
          </w:p>
        </w:tc>
        <w:tc>
          <w:tcPr>
            <w:tcW w:type="dxa" w:w="90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w:t>
            </w:r>
          </w:p>
        </w:tc>
      </w:tr>
      <w:t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ISO 12006-3</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Framework behind bSDD</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Uniclass Pr (Products) table</w:t>
            </w:r>
          </w:p>
        </w:tc>
        <w:tc>
          <w:tcPr>
            <w:tcW w:type="dxa" w:w="3429"/>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Generic product and material names with codes</w:t>
            </w:r>
          </w:p>
        </w:tc>
        <w:tc>
          <w:tcPr>
            <w:tcW w:type="dxa" w:w="11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 – NBS</w:t>
            </w:r>
          </w:p>
        </w:tc>
        <w:tc>
          <w:tcPr>
            <w:tcW w:type="dxa" w:w="108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Free</w:t>
            </w:r>
          </w:p>
        </w:tc>
        <w:tc>
          <w:tcPr>
            <w:tcW w:type="dxa" w:w="90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w:t>
            </w:r>
          </w:p>
        </w:tc>
      </w:tr>
      <w:t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ÖKOBAUDAT</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German government material database (German/English, densities)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Free</w:t>
            </w:r>
          </w:p>
        </w:tc>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ETIM / ECLASS</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Product classification for technical products (mainly MEP)</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Industry</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ETIM free / ECLASS paid</w:t>
            </w:r>
          </w:p>
        </w:tc>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IATE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EU multilingual terminology database</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 EU</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Free</w:t>
            </w:r>
          </w:p>
        </w:tc>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r>
        <w:tc>
          <w:tcPr>
            <w:tcW w:type="dxa" w:w="2437"/>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Revit / ArchiCAD default libraries</w:t>
            </w:r>
          </w:p>
        </w:tc>
        <w:tc>
          <w:tcPr>
            <w:tcW w:type="dxa" w:w="3429"/>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Default type and material names</w:t>
            </w:r>
          </w:p>
        </w:tc>
        <w:tc>
          <w:tcPr>
            <w:tcW w:type="dxa" w:w="117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De facto</w:t>
            </w:r>
          </w:p>
        </w:tc>
        <w:tc>
          <w:tcPr>
            <w:tcW w:type="dxa" w:w="1083"/>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With software</w:t>
            </w:r>
          </w:p>
        </w:tc>
        <w:tc>
          <w:tcPr>
            <w:tcW w:type="dxa" w:w="904"/>
            <w:tcBorders>
              <w:top w:val="single" w:color="BFBFBF" w:sz="4"/>
              <w:left w:val="single" w:color="BFBFBF" w:sz="4"/>
              <w:bottom w:val="single" w:color="BFBFBF" w:sz="4"/>
              <w:right w:val="single" w:color="BFBFBF" w:sz="4"/>
            </w:tcBorders>
            <w:shd w:fill="EFEBF7" w:val="clear"/>
            <w:tcMar>
              <w:top w:type="dxa" w:w="60"/>
              <w:left w:type="dxa" w:w="100"/>
              <w:bottom w:type="dxa" w:w="60"/>
              <w:right w:type="dxa" w:w="100"/>
            </w:tcMar>
          </w:tcPr>
          <w:p>
            <w:r>
              <w:rPr>
                <w:b w:val="false"/>
                <w:bCs w:val="false"/>
                <w:sz w:val="18"/>
                <w:szCs w:val="18"/>
              </w:rPr>
              <w:t xml:space="preserve">Yes</w:t>
            </w:r>
          </w:p>
        </w:tc>
      </w:tr>
      <w:tr>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Manufacturer catalogues / BIMobject</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Brand names mapped to products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Mostly free</w:t>
            </w:r>
          </w:p>
        </w:tc>
        <w:tc>
          <w:tcPr>
            <w:tcW w:type="dxa" w:w="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r>
    </w:tbl>
    <w:p>
      <w:pPr>
        <w:spacing w:after="120"/>
      </w:pPr>
    </w:p>
    <w:p>
      <w:pPr>
        <w:spacing w:after="120"/>
      </w:pPr>
      <w:r>
        <w:rPr>
          <w:b/>
          <w:bCs/>
        </w:rPr>
        <w:t xml:space="preserve">What exists nowhere: </w:t>
      </w:r>
      <w:r>
        <w:t xml:space="preserve">local-language trade terms, brand-to-generic mappings at full coverage, and office-specific abbreviations and codes.</w:t>
      </w:r>
    </w:p>
    <w:p>
      <w:pPr>
        <w:pStyle w:val="Heading2"/>
      </w:pPr>
      <w:r>
        <w:t xml:space="preserve">How names get resolved</w:t>
      </w:r>
    </w:p>
    <w:p>
      <w:pPr>
        <w:pStyle w:val="ListParagraph"/>
        <w:numPr>
          <w:ilvl w:val="0"/>
          <w:numId w:val="2"/>
        </w:numPr>
        <w:spacing w:after="60"/>
      </w:pPr>
      <w:r>
        <w:t xml:space="preserve">Exact match in the dictionary.</w:t>
      </w:r>
    </w:p>
    <w:p>
      <w:pPr>
        <w:pStyle w:val="ListParagraph"/>
        <w:numPr>
          <w:ilvl w:val="0"/>
          <w:numId w:val="2"/>
        </w:numPr>
        <w:spacing w:after="60"/>
      </w:pPr>
      <w:r>
        <w:t xml:space="preserve">Known aliases, synonyms and translations.</w:t>
      </w:r>
    </w:p>
    <w:p>
      <w:pPr>
        <w:pStyle w:val="ListParagraph"/>
        <w:numPr>
          <w:ilvl w:val="0"/>
          <w:numId w:val="2"/>
        </w:numPr>
        <w:spacing w:after="60"/>
      </w:pPr>
      <w:r>
        <w:t xml:space="preserve">Contextual evidence: IFC class, layer structure and thicknesses, common property sets (IsExternal, LoadBearing), classification references, material properties, position and host. An AI model can propose a match with a confidence score.</w:t>
      </w:r>
    </w:p>
    <w:p>
      <w:pPr>
        <w:pStyle w:val="ListParagraph"/>
        <w:numPr>
          <w:ilvl w:val="0"/>
          <w:numId w:val="2"/>
        </w:numPr>
        <w:spacing w:after="60"/>
      </w:pPr>
      <w:r>
        <w:t xml:space="preserve">Below the confidence threshold: send to human review. Never guess silently for anything that affects cost.</w:t>
      </w:r>
    </w:p>
    <w:p>
      <w:pPr>
        <w:pStyle w:val="Heading2"/>
      </w:pPr>
      <w:r>
        <w:t xml:space="preserve">Do users need their own?</w:t>
      </w:r>
    </w:p>
    <w:p>
      <w:pPr>
        <w:spacing w:after="120"/>
      </w:pPr>
      <w:r>
        <w:t xml:space="preserve">Yes, always. The dictionary works in three layers, checked from most specific to most general:</w:t>
      </w:r>
    </w:p>
    <w:p>
      <w:pPr>
        <w:pStyle w:val="ListParagraph"/>
        <w:numPr>
          <w:ilvl w:val="0"/>
          <w:numId w:val="3"/>
        </w:numPr>
        <w:spacing w:after="60"/>
      </w:pPr>
      <w:r>
        <w:rPr>
          <w:b/>
          <w:bCs/>
        </w:rPr>
        <w:t xml:space="preserve">Project: </w:t>
      </w:r>
      <w:r>
        <w:t xml:space="preserve">one-off names used only in this model.</w:t>
      </w:r>
    </w:p>
    <w:p>
      <w:pPr>
        <w:pStyle w:val="ListParagraph"/>
        <w:numPr>
          <w:ilvl w:val="0"/>
          <w:numId w:val="3"/>
        </w:numPr>
        <w:spacing w:after="60"/>
      </w:pPr>
      <w:r>
        <w:rPr>
          <w:b/>
          <w:bCs/>
        </w:rPr>
        <w:t xml:space="preserve">Company: </w:t>
      </w:r>
      <w:r>
        <w:t xml:space="preserve">the office’s naming habits, e.g. "Z-25" means their 25 cm wall type.</w:t>
      </w:r>
    </w:p>
    <w:p>
      <w:pPr>
        <w:pStyle w:val="ListParagraph"/>
        <w:numPr>
          <w:ilvl w:val="0"/>
          <w:numId w:val="3"/>
        </w:numPr>
        <w:spacing w:after="60"/>
      </w:pPr>
      <w:r>
        <w:rPr>
          <w:b/>
          <w:bCs/>
        </w:rPr>
        <w:t xml:space="preserve">Global: </w:t>
      </w:r>
      <w:r>
        <w:t xml:space="preserve">the dictionary shipped with the tool, seeded from bSDD, Uniclass, IFC and authoring-tool defaults.</w:t>
      </w:r>
    </w:p>
    <w:p>
      <w:pPr>
        <w:spacing w:after="120"/>
      </w:pPr>
      <w:r>
        <w:t xml:space="preserve">Each review answer is saved to project or company level, so repeated questions disappear over time.</w:t>
      </w:r>
    </w:p>
    <w:p>
      <w:pPr>
        <w:pStyle w:val="Heading1"/>
      </w:pPr>
      <w:r>
        <w:t xml:space="preserve">4. Item library</w:t>
      </w:r>
    </w:p>
    <w:p>
      <w:pPr>
        <w:spacing w:after="120"/>
      </w:pPr>
      <w:r>
        <w:t xml:space="preserve">Once an element is recognised (for example, "190 mm concrete block wall"), the item library supplies the BoQ line: standard description text, unit, and which quantity to use, for each rulebook and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173"/>
        <w:gridCol w:w="2978"/>
        <w:gridCol w:w="1263"/>
        <w:gridCol w:w="1085"/>
      </w:tblGrid>
      <w:tr>
        <w:trPr>
          <w:tblHeader/>
        </w:trPr>
        <w:tc>
          <w:tcPr>
            <w:tcW w:type="dxa" w:w="252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Resource</w:t>
            </w:r>
          </w:p>
        </w:tc>
        <w:tc>
          <w:tcPr>
            <w:tcW w:type="dxa" w:w="117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Region</w:t>
            </w:r>
          </w:p>
        </w:tc>
        <w:tc>
          <w:tcPr>
            <w:tcW w:type="dxa" w:w="2978"/>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What it is</w:t>
            </w:r>
          </w:p>
        </w:tc>
        <w:tc>
          <w:tcPr>
            <w:tcW w:type="dxa" w:w="1263"/>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Official?</w:t>
            </w:r>
          </w:p>
        </w:tc>
        <w:tc>
          <w:tcPr>
            <w:tcW w:type="dxa" w:w="1085"/>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Access</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STLB-Bau</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Germany</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Standard item descriptions tied to VOB/C</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(DIN/GAEB)</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GAEB</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Germany</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Standard BoQ exchange file format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Spec available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LB-HB (Leistungsbeschreibung Hochbau)</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Austria</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Standardised item library for building works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Free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ÖNORM A 2063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Austria</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BoQ exchange format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NPK (Normpositionen-Katalog)</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Switzerland</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Standard item catalogue</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(CRB)</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NRM2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UK</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Rules for structuring item descriptions; not a ready library</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(RICS)</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Commercial QS libraries (CostX, NBS-based)</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UK</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Ready-made item libraries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RSMeans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USA</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Line items with descriptions, units, unit costs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 facto</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Paid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Regional norm books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Various</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Legacy descriptions of work types with labour/material norms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Legacy</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Scattered</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Published tender BoQs</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Anywhere</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Real wording in current use; public procurement portals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Often free</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IfcCostSchedule / IfcCostItem</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International</w:t>
            </w:r>
          </w:p>
        </w:tc>
        <w:tc>
          <w:tcPr>
            <w:tcW w:type="dxa" w:w="2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Storing a BoQ inside IFC</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(IFC)</w:t>
            </w: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Free</w:t>
            </w:r>
          </w:p>
        </w:tc>
      </w:tr>
    </w:tbl>
    <w:p>
      <w:pPr>
        <w:spacing w:after="120"/>
      </w:pPr>
    </w:p>
    <w:p>
      <w:pPr>
        <w:spacing w:after="120"/>
      </w:pPr>
      <w:r>
        <w:t xml:space="preserve">Coverage is strong in German-speaking countries, commercial in the UK and US, and thin or absent in many other markets, where published tender BoQs are the most practical source.</w:t>
      </w:r>
    </w:p>
    <w:p>
      <w:pPr>
        <w:pStyle w:val="Heading2"/>
      </w:pPr>
      <w:r>
        <w:t xml:space="preserve">Do users need their own?</w:t>
      </w:r>
    </w:p>
    <w:p>
      <w:pPr>
        <w:spacing w:after="120"/>
      </w:pPr>
      <w:r>
        <w:t xml:space="preserve">Even more than for names, because firms word and split items differently and tenders impose the client’s exact format. Three layers:</w:t>
      </w:r>
    </w:p>
    <w:p>
      <w:pPr>
        <w:pStyle w:val="ListParagraph"/>
        <w:numPr>
          <w:ilvl w:val="0"/>
          <w:numId w:val="3"/>
        </w:numPr>
        <w:spacing w:after="60"/>
      </w:pPr>
      <w:r>
        <w:rPr>
          <w:b/>
          <w:bCs/>
        </w:rPr>
        <w:t xml:space="preserve">Client template: </w:t>
      </w:r>
      <w:r>
        <w:t xml:space="preserve">items imported from the tender’s BoQ spreadsheet; model elements are matched to them.</w:t>
      </w:r>
    </w:p>
    <w:p>
      <w:pPr>
        <w:pStyle w:val="ListParagraph"/>
        <w:numPr>
          <w:ilvl w:val="0"/>
          <w:numId w:val="3"/>
        </w:numPr>
        <w:spacing w:after="60"/>
      </w:pPr>
      <w:r>
        <w:rPr>
          <w:b/>
          <w:bCs/>
        </w:rPr>
        <w:t xml:space="preserve">Company library: </w:t>
      </w:r>
      <w:r>
        <w:t xml:space="preserve">the firm’s own items, typically built by importing past BoQs.</w:t>
      </w:r>
    </w:p>
    <w:p>
      <w:pPr>
        <w:pStyle w:val="ListParagraph"/>
        <w:numPr>
          <w:ilvl w:val="0"/>
          <w:numId w:val="3"/>
        </w:numPr>
        <w:spacing w:after="60"/>
      </w:pPr>
      <w:r>
        <w:rPr>
          <w:b/>
          <w:bCs/>
        </w:rPr>
        <w:t xml:space="preserve">Base library: </w:t>
      </w:r>
      <w:r>
        <w:t xml:space="preserve">shipped per rulebook preset.</w:t>
      </w:r>
    </w:p>
    <w:p>
      <w:pPr>
        <w:pBdr>
          <w:left w:val="single" w:color="3B2A6B" w:sz="18" w:space="8"/>
        </w:pBdr>
        <w:spacing w:after="160" w:before="120"/>
        <w:ind w:left="240"/>
      </w:pPr>
      <w:r>
        <w:rPr>
          <w:b/>
          <w:bCs/>
        </w:rPr>
        <w:t xml:space="preserve">Key feature: </w:t>
      </w:r>
      <w:r>
        <w:t xml:space="preserve">importing an existing BoQ spreadsheet as a template. That is how most firms actually work: they start from a previous bill and edit it.</w:t>
      </w:r>
    </w:p>
    <w:p>
      <w:pPr>
        <w:pStyle w:val="Heading1"/>
      </w:pPr>
      <w:r>
        <w:t xml:space="preserve">5. Missing or broken model data</w:t>
      </w:r>
    </w:p>
    <w:p>
      <w:pPr>
        <w:spacing w:after="120"/>
      </w:pPr>
      <w:r>
        <w:t xml:space="preserve">Not every problem in the input is a question for the user. Four distinct cases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2"/>
      </w:tblGrid>
      <w:tr>
        <w:trPr>
          <w:tblHeader/>
        </w:trPr>
        <w:tc>
          <w:tcPr>
            <w:tcW w:type="dxa" w:w="1985"/>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Case</w:t>
            </w:r>
          </w:p>
        </w:tc>
        <w:tc>
          <w:tcPr>
            <w:tcW w:type="dxa" w:w="3429"/>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Example (Duplex test file)</w:t>
            </w:r>
          </w:p>
        </w:tc>
        <w:tc>
          <w:tcPr>
            <w:tcW w:type="dxa" w:w="3612"/>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Handled by</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Broken export</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wall exported with flipped faces measured 433 m³ instead of 25.8 m³</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Engine, automatically. Repair rules for known exporter quirks, collected by testing many files.</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but derivable</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Worktop length not reported, but its 3D shape is present</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Engine, automatically, with the derivation noted.</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Missing, needs a decision</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Footings have no material assigned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Human review, or an accepted default that is logged.</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Simply not in the model</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reinforcement, no plumbing or electrical</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Nobody. Needs another model, manual input, or an out-of-scope statement.</w:t>
            </w:r>
          </w:p>
        </w:tc>
      </w:tr>
    </w:tbl>
    <w:p>
      <w:pPr>
        <w:spacing w:after="120"/>
      </w:pPr>
    </w:p>
    <w:p>
      <w:pPr>
        <w:spacing w:after="120"/>
      </w:pPr>
      <w:r>
        <w:t xml:space="preserve">Only the third case belongs in the per-file review layer. The first two are engineering work; the fourth is a scope statement.</w:t>
      </w:r>
    </w:p>
    <w:p>
      <w:pPr>
        <w:pStyle w:val="Heading1"/>
      </w:pPr>
      <w:r>
        <w:t xml:space="preserve">6. Answer key</w:t>
      </w:r>
    </w:p>
    <w:p>
      <w:pPr>
        <w:spacing w:after="120"/>
      </w:pPr>
      <w:r>
        <w:t xml:space="preserve">Checking output against the file proves internal consistency. It does not prove the output matches what a professional would produce. That needs reference projects: IFC files that qualified quantity surveyors have measured by hand under a known rulebook.</w:t>
      </w:r>
    </w:p>
    <w:p>
      <w:pPr>
        <w:pStyle w:val="ListParagraph"/>
        <w:numPr>
          <w:ilvl w:val="0"/>
          <w:numId w:val="4"/>
        </w:numPr>
        <w:spacing w:after="60"/>
      </w:pPr>
      <w:r>
        <w:t xml:space="preserve">Collect reference projects with both the IFC and a professionally measured BoQ.</w:t>
      </w:r>
    </w:p>
    <w:p>
      <w:pPr>
        <w:pStyle w:val="ListParagraph"/>
        <w:numPr>
          <w:ilvl w:val="0"/>
          <w:numId w:val="4"/>
        </w:numPr>
        <w:spacing w:after="60"/>
      </w:pPr>
      <w:r>
        <w:t xml:space="preserve">Run the engine with the same rulebook and settings.</w:t>
      </w:r>
    </w:p>
    <w:p>
      <w:pPr>
        <w:pStyle w:val="ListParagraph"/>
        <w:numPr>
          <w:ilvl w:val="0"/>
          <w:numId w:val="4"/>
        </w:numPr>
        <w:spacing w:after="60"/>
      </w:pPr>
      <w:r>
        <w:t xml:space="preserve">Compare line by line; explain every difference; fix rules.</w:t>
      </w:r>
    </w:p>
    <w:p>
      <w:pPr>
        <w:pStyle w:val="ListParagraph"/>
        <w:numPr>
          <w:ilvl w:val="0"/>
          <w:numId w:val="4"/>
        </w:numPr>
        <w:spacing w:after="60"/>
      </w:pPr>
      <w:r>
        <w:t xml:space="preserve">Repeat for each rulebook preset and after every engine change.</w:t>
      </w:r>
    </w:p>
    <w:p>
      <w:pPr>
        <w:spacing w:after="120"/>
      </w:pPr>
      <w:r>
        <w:t xml:space="preserve">This is development-time validation, invisible to end users. It allows a claim such as "this preset matches professional output within X%". In production, recurring user corrections to the same quantity signal a faulty rule and feed back into this process.</w:t>
      </w:r>
    </w:p>
    <w:p>
      <w:pPr>
        <w:pStyle w:val="Heading1"/>
      </w:pPr>
      <w:r>
        <w:t xml:space="preserve">Summary: who handles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Responsibility</w:t>
            </w:r>
          </w:p>
        </w:tc>
        <w:tc>
          <w:tcPr>
            <w:tcW w:type="dxa" w:w="5867"/>
            <w:tcBorders>
              <w:top w:val="single" w:color="BFBFBF" w:sz="4"/>
              <w:left w:val="single" w:color="BFBFBF" w:sz="4"/>
              <w:bottom w:val="single" w:color="BFBFBF" w:sz="4"/>
              <w:right w:val="single" w:color="BFBFBF" w:sz="4"/>
            </w:tcBorders>
            <w:shd w:fill="3B2A6B" w:val="clear"/>
            <w:tcMar>
              <w:top w:type="dxa" w:w="60"/>
              <w:left w:type="dxa" w:w="100"/>
              <w:bottom w:type="dxa" w:w="60"/>
              <w:right w:type="dxa" w:w="100"/>
            </w:tcMar>
          </w:tcPr>
          <w:p>
            <w:r>
              <w:rPr>
                <w:b/>
                <w:bCs/>
                <w:color w:val="FFFFFF"/>
                <w:sz w:val="18"/>
                <w:szCs w:val="18"/>
              </w:rPr>
              <w:t xml:space="preserve">Covers</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Per-file human review (end user)</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Unknown names (3), unmatched items (4), missing data needing a decision (part of 5)</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Engine work (developer)</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Export repairs and derivations (rest of 5), dictionary and library infrastructure</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Validation (developer, before release)</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Answer key (6)</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Domain expertise (quantity surveyor)</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Translating rulebooks into presets (1), seeding item libraries (4)</w:t>
            </w:r>
          </w:p>
        </w:tc>
      </w:tr>
      <w:t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Load once</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Classification code lists (2), public dictionary seeds (3)</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IFC to BoQ: The Six Knowledge Gaps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B2A6B"/>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2026-10-03T20:19:22.448Z</dcterms:created>
  <dcterms:modified xsi:type="dcterms:W3CDTF">2026-10-03T20:19:22.448Z</dcterms:modified>
</cp:coreProperties>
</file>

<file path=docProps/custom.xml><?xml version="1.0" encoding="utf-8"?>
<Properties xmlns="http://schemas.openxmlformats.org/officeDocument/2006/custom-properties" xmlns:vt="http://schemas.openxmlformats.org/officeDocument/2006/docPropsVTypes"/>
</file>