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3864"/>
          <w:sz w:val="52"/>
          <w:szCs w:val="52"/>
        </w:rPr>
        <w:t xml:space="preserve">CAHIER DES CHARGES</w:t>
      </w:r>
    </w:p>
    <w:p>
      <w:pPr>
        <w:spacing w:after="200" w:before="200"/>
        <w:jc w:val="center"/>
      </w:pPr>
      <w:r>
        <w:rPr>
          <w:b/>
          <w:bCs/>
          <w:color w:val="2E5395"/>
          <w:sz w:val="30"/>
          <w:szCs w:val="30"/>
        </w:rPr>
        <w:t xml:space="preserve">Plateforme de Courtage &amp; Comparateur d'Assurances en Ligne</w:t>
      </w:r>
    </w:p>
    <w:p>
      <w:pPr>
        <w:spacing w:after="100" w:before="100"/>
        <w:jc w:val="center"/>
      </w:pPr>
      <w:r>
        <w:rPr>
          <w:i/>
          <w:iCs/>
          <w:sz w:val="26"/>
          <w:szCs w:val="26"/>
        </w:rPr>
        <w:t xml:space="preserve">Site web, Comparateur de devis, Dashboard multi-profils &amp; Backend</w:t>
      </w:r>
    </w:p>
    <w:p>
      <w:pPr>
        <w:spacing w:before="100"/>
        <w:jc w:val="center"/>
      </w:pPr>
      <w:r>
        <w:rPr>
          <w:color w:val="555555"/>
          <w:sz w:val="22"/>
          <w:szCs w:val="22"/>
        </w:rPr>
        <w:t xml:space="preserve">Cas de référence : Assistances Assurances Mali (AAM)</w:t>
      </w:r>
    </w:p>
    <w:p>
      <w:pPr>
        <w:spacing w:before="800"/>
      </w:pPr>
    </w:p>
    <w:p>
      <w:pPr>
        <w:jc w:val="center"/>
      </w:pPr>
      <w:r>
        <w:rPr>
          <w:sz w:val="22"/>
          <w:szCs w:val="22"/>
        </w:rPr>
        <w:t xml:space="preserve">Version 2.0 — Juillet 2026</w:t>
      </w:r>
    </w:p>
    <w:p>
      <w:pPr>
        <w:jc w:val="center"/>
      </w:pPr>
      <w:r>
        <w:rPr>
          <w:sz w:val="22"/>
          <w:szCs w:val="22"/>
        </w:rPr>
        <w:t xml:space="preserve">Rédigé par : Mohamed Traoré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Présentation du projet</w:t>
      </w:r>
    </w:p>
    <w:p>
      <w:pPr>
        <w:spacing w:after="150"/>
      </w:pPr>
      <w:r>
        <w:t xml:space="preserve">Ce document constitue le cahier des charges fonctionnel et technique pour la conception d'une plateforme digitale de courtage en assurances, sur le modèle « Assistances Assurances Mali » (AAM). Le positionnement du projet n'est pas celui d'une compagnie d'assurance, mais celui d'un courtier / comparateur : la plateforme met en relation les internautes avec plusieurs compagnies d'assurance partenaires, compare leurs offres et permet la souscription en ligne.</w:t>
      </w:r>
    </w:p>
    <w:p>
      <w:pPr>
        <w:spacing w:after="150"/>
      </w:pPr>
      <w:r>
        <w:t xml:space="preserve">Trois briques composent le projet : (1) un site web public avec comparateur de devis en 4 étapes, (2) un ensemble de Dashboards pour les Clients, les Agents/Courtiers et l'Administration, et (3) un Backend qui centralise les compagnies partenaires, les grilles tarifaires, les devis, les contrats, les sinistres et les paiements.</w:t>
      </w:r>
    </w:p>
    <w:p>
      <w:pPr>
        <w:pStyle w:val="Heading2"/>
        <w:spacing w:after="150" w:before="300"/>
      </w:pPr>
      <w:r>
        <w:t xml:space="preserve">1.1 Contexte et modèle économique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 site se positionne comme « courtier en assurances » : slogan observé « ASSURANCE, SIMPLIFIÉE » / « Votre confiance, notre engagement »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 référencement d'un réseau de compagnies d'assurance agréées CIMA (Conférence Interafricaine des Marchés d'Assurances) constitue un argument de confiance central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 rémunération de la plateforme provient de commissions de courtage versées par les compagnies partenaires sur les contrats souscrits</w:t>
      </w:r>
    </w:p>
    <w:p>
      <w:pPr>
        <w:pStyle w:val="Heading2"/>
        <w:spacing w:after="150" w:before="300"/>
      </w:pPr>
      <w:r>
        <w:t xml:space="preserve">1.2 Enjeux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Permettre à un internaute de comparer en quelques minutes plusieurs offres d'assurance réelles, sans connaissance technique du secteur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Digitaliser l'intégralité du parcours : simulation → comparaison → souscription → paiement → gestion du contrat/sinistre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Gérer dynamiquement un catalogue de compagnies partenaires et leurs grilles tarifaires (données pouvant évoluer sans redéploiement)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Offrir un outil de pilotage à la Direction et aux agents commerciaux</w:t>
      </w:r>
    </w:p>
    <w:p>
      <w:pPr>
        <w:pStyle w:val="Heading1"/>
        <w:spacing w:after="200" w:before="400"/>
      </w:pPr>
      <w:r>
        <w:t xml:space="preserve">2. Objectifs du projet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Développer un comparateur de devis multi-branches (Auto, Santé, Habitation, Voyage, Vie) avec parcours guidé en 4 étapes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Construire et administrer un référentiel de compagnies d'assurance partenaires et de leurs produits/tarifs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Implémenter un moteur de scoring des offres (badges « Meilleur rapport », « Moins cher », « Qualité premium »)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Permettre la souscription et le paiement en ligne (Mobile Money + carte bancaire) directement depuis les résultats de comparaison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Fournir 3 espaces Dashboard : Client, Agent/Courtier, Administrateur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Mettre en place un module d'assistance et de déclaration de sinistre (engagement « Sinistre traité sous 72h » observé sur le site de référence)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Garantir la conformité à la réglementation CIMA et à la protection des données personnelles</w:t>
      </w:r>
    </w:p>
    <w:p>
      <w:pPr>
        <w:pStyle w:val="Heading1"/>
        <w:spacing w:after="200" w:before="400"/>
      </w:pPr>
      <w:r>
        <w:t xml:space="preserve">3. Périmètre du projet</w:t>
      </w:r>
    </w:p>
    <w:p>
      <w:pPr>
        <w:pStyle w:val="Heading2"/>
        <w:spacing w:after="150" w:before="300"/>
      </w:pPr>
      <w:r>
        <w:t xml:space="preserve">3.1 Analyse du site de référence (AAM)</w:t>
      </w:r>
    </w:p>
    <w:p>
      <w:pPr>
        <w:spacing w:after="150"/>
      </w:pPr>
      <w:r>
        <w:t xml:space="preserve">L'analyse des captures d'écran fournies fait apparaître les pages et parcours suivants, qui servent de base fonctionnelle au présent cahier des charges :</w:t>
      </w:r>
    </w:p>
    <w:tbl>
      <w:tblPr>
        <w:tblW w:type="dxa" w:w="11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100"/>
      </w:tblGrid>
      <w:t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/ Écran</w:t>
            </w:r>
          </w:p>
        </w:tc>
        <w:tc>
          <w:tcPr>
            <w:tcW w:type="dxa" w:w="8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 observé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d'accueil</w:t>
            </w:r>
          </w:p>
        </w:tc>
        <w:tc>
          <w:tcPr>
            <w:tcW w:type="dxa" w:w="8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Hero « Assurance, simplifiée », widget de comparaison rapide (type de protection : Auto/Santé/Habitation/Voyage/Vie), CTA « Découvrir nos offres » et « Nous appeler »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Nos solutions</w:t>
            </w:r>
          </w:p>
        </w:tc>
        <w:tc>
          <w:tcPr>
            <w:tcW w:type="dxa" w:w="8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catégories d'assurance présentées en cartes, chacune avec garanties clés et lien « Obtenir un devis »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 ça marche</w:t>
            </w:r>
          </w:p>
        </w:tc>
        <w:tc>
          <w:tcPr>
            <w:tcW w:type="dxa" w:w="8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Parcours en 4 étapes : Décrivez vos besoins → Comparez les offres → Choisissez &amp; souscrivez → Assistance continue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Pourquoi nous choisir</w:t>
            </w:r>
          </w:p>
        </w:tc>
        <w:tc>
          <w:tcPr>
            <w:tcW w:type="dxa" w:w="8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Argumentaire de confiance + chiffres clés (15+ ans d'expérience, 10+ partenaires assureurs, 98% clients satisfaits, +10 000 clients)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Nos partenaires</w:t>
            </w:r>
          </w:p>
        </w:tc>
        <w:tc>
          <w:tcPr>
            <w:tcW w:type="dxa" w:w="8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Liste de 11 compagnies d'assurance partenaires agréées CIMA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Devis gratuit (wizard)</w:t>
            </w:r>
          </w:p>
        </w:tc>
        <w:tc>
          <w:tcPr>
            <w:tcW w:type="dxa" w:w="8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Formulaire en 4 étapes : Type d'assurance → Caractéristiques du bien/véhicule → Choix des garanties → Durée du contrat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Résultats de comparaison</w:t>
            </w:r>
          </w:p>
        </w:tc>
        <w:tc>
          <w:tcPr>
            <w:tcW w:type="dxa" w:w="8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Liste des offres triées (prix croissant par défaut), badges Meilleur rapport / Moins cher / Qualité premium, boutons « Obtenir mon devis » et « Souscrire »</w:t>
            </w:r>
          </w:p>
        </w:tc>
      </w:tr>
    </w:tbl>
    <w:p>
      <w:pPr>
        <w:pStyle w:val="Heading2"/>
        <w:spacing w:after="150" w:before="300"/>
      </w:pPr>
      <w:r>
        <w:t xml:space="preserve">3.2 Compagnies partenaires identifiées</w:t>
      </w:r>
    </w:p>
    <w:p>
      <w:pPr>
        <w:spacing w:after="150"/>
      </w:pPr>
      <w:r>
        <w:t xml:space="preserve">Le module d'administration devra permettre de gérer un référentiel de compagnies partenaires, sur le modèle des 11 partenaires identifiés :</w:t>
      </w:r>
    </w:p>
    <w:tbl>
      <w:tblPr>
        <w:tblW w:type="dxa" w:w="11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00"/>
      </w:tblGrid>
      <w:tr>
        <w:tc>
          <w:tcPr>
            <w:tcW w:type="dxa" w:w="11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Compagnies partenaires (exemple constaté)</w:t>
            </w:r>
          </w:p>
        </w:tc>
      </w:tr>
      <w:tr>
        <w:tc>
          <w:tcPr>
            <w:tcW w:type="dxa" w:w="11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AFG Assurances</w:t>
            </w:r>
          </w:p>
        </w:tc>
      </w:tr>
      <w:tr>
        <w:tc>
          <w:tcPr>
            <w:tcW w:type="dxa" w:w="1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Assurances Lafia</w:t>
            </w:r>
          </w:p>
        </w:tc>
      </w:tr>
      <w:tr>
        <w:tc>
          <w:tcPr>
            <w:tcW w:type="dxa" w:w="11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CNAR</w:t>
            </w:r>
          </w:p>
        </w:tc>
      </w:tr>
      <w:tr>
        <w:tc>
          <w:tcPr>
            <w:tcW w:type="dxa" w:w="1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NALLIAS-SA</w:t>
            </w:r>
          </w:p>
        </w:tc>
      </w:tr>
      <w:tr>
        <w:tc>
          <w:tcPr>
            <w:tcW w:type="dxa" w:w="11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NSIA Assurances</w:t>
            </w:r>
          </w:p>
        </w:tc>
      </w:tr>
      <w:tr>
        <w:tc>
          <w:tcPr>
            <w:tcW w:type="dxa" w:w="1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Sabunyuman</w:t>
            </w:r>
          </w:p>
        </w:tc>
      </w:tr>
      <w:tr>
        <w:tc>
          <w:tcPr>
            <w:tcW w:type="dxa" w:w="11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Sanlam Allianz</w:t>
            </w:r>
          </w:p>
        </w:tc>
      </w:tr>
      <w:tr>
        <w:tc>
          <w:tcPr>
            <w:tcW w:type="dxa" w:w="1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SUNU Assurances</w:t>
            </w:r>
          </w:p>
        </w:tc>
      </w:tr>
      <w:tr>
        <w:tc>
          <w:tcPr>
            <w:tcW w:type="dxa" w:w="11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Takaful Mali</w:t>
            </w:r>
          </w:p>
        </w:tc>
      </w:tr>
      <w:tr>
        <w:tc>
          <w:tcPr>
            <w:tcW w:type="dxa" w:w="1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CIF Assurances</w:t>
            </w:r>
          </w:p>
        </w:tc>
      </w:tr>
      <w:tr>
        <w:tc>
          <w:tcPr>
            <w:tcW w:type="dxa" w:w="11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SONAVIE</w:t>
            </w:r>
          </w:p>
        </w:tc>
      </w:tr>
    </w:tbl>
    <w:p>
      <w:pPr>
        <w:pStyle w:val="Heading2"/>
        <w:spacing w:after="150" w:before="300"/>
      </w:pPr>
      <w:r>
        <w:t xml:space="preserve">3.3 Dans le périmètre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Site web public : accueil, catalogue des 5 branches, page « Comment ça marche », page « Pourquoi nous choisir », page « Nos partenaires », blog/actualités, contact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Comparateur / wizard de devis en 4 étapes, dynamique selon la branche choisie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Moteur de calcul et de classement des offres (scoring, badges, tri par prix/note/délai de traitement sinistre)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Souscription en ligne et paiement (Mobile Money + carte bancaire)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Espace Client, Espace Agent/Courtier, Espace Administrateur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 : gestion des partenaires assureurs, produits, tarifs, devis, contrats, sinistres, paiements, utilisateurs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Module d'assistance (contact, prise de rendez-vous, suivi sinistre)</w:t>
      </w:r>
    </w:p>
    <w:p>
      <w:pPr>
        <w:pStyle w:val="Heading2"/>
        <w:spacing w:after="150" w:before="300"/>
      </w:pPr>
      <w:r>
        <w:t xml:space="preserve">3.4 Hors périmètre (phase 1)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Application mobile native (Android/iOS)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Connexion API temps réel directe avec les systèmes cœur de chaque compagnie partenaire (phase 1 : saisie/mise à jour manuelle des grilles tarifaires par un administrateur ou un correspondant partenaire)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Signature électronique certifiée avec tiers de confiance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Portail dédié en self-service pour chaque compagnie partenaire (à évaluer en phase 2)</w:t>
      </w:r>
    </w:p>
    <w:p>
      <w:pPr>
        <w:pStyle w:val="Heading1"/>
        <w:spacing w:after="200" w:before="400"/>
      </w:pPr>
      <w:r>
        <w:t xml:space="preserve">4. Acteurs et profils utilisateurs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3400"/>
      </w:tblGrid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5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Accès principal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Visiteur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Internaute non connecté consultant le site et lançant une comparaison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 public, comparateur, simulation de devis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/ Assuré</w:t>
            </w:r>
          </w:p>
        </w:tc>
        <w:tc>
          <w:tcPr>
            <w:tcW w:type="dxa" w:w="5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Utilisateur ayant obtenu un devis et/ou souscrit un contrat via la plateforme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Client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/ Courtier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Commercial interne assistant les clients, suivant un portefeuille et des commissions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Agent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Gestionnaire sinistres</w:t>
            </w:r>
          </w:p>
        </w:tc>
        <w:tc>
          <w:tcPr>
            <w:tcW w:type="dxa" w:w="5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Équipe interne traitant les déclarations de sinistres (engagement 72h)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Admin (module sinistres)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Correspondant compagnie partenaire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Contact chez l'assureur partenaire fournissant/validant les tarifs (optionnel phase 1)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Accès restreint au catalogue de sa compagnie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Administrateur</w:t>
            </w:r>
          </w:p>
        </w:tc>
        <w:tc>
          <w:tcPr>
            <w:tcW w:type="dxa" w:w="5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Pilotage global : partenaires, produits, tarifs, utilisateurs, reporting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Admin (accès complet)</w:t>
            </w:r>
          </w:p>
        </w:tc>
      </w:tr>
    </w:tbl>
    <w:p>
      <w:pPr>
        <w:pStyle w:val="Heading1"/>
        <w:spacing w:after="200" w:before="400"/>
      </w:pPr>
      <w:r>
        <w:t xml:space="preserve">5. Spécifications fonctionnelles</w:t>
      </w:r>
    </w:p>
    <w:p>
      <w:pPr>
        <w:pStyle w:val="Heading2"/>
        <w:spacing w:after="150" w:before="300"/>
      </w:pPr>
      <w:r>
        <w:t xml:space="preserve">5.1 Site web public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Page d'accueil avec widget de comparaison rapide intégré au hero (sélection du type de protection : Auto, Santé, Habitation, Voyage, Vie)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Section « Une protection pour chaque besoin » : 5 cartes produits avec tags de garanties et lien direct « Obtenir un devis »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Section « Comment ça marche » en 4 étapes (Décrivez vos besoins / Comparez les offres / Choisissez &amp; souscrivez / Assistance continue)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Section « Pourquoi nous choisir » avec argumentaire de confiance et chiffres clés dynamiques (années d'expérience, nombre de partenaires, taux de satisfaction, nombre de clients), alimentés depuis le back-office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Section « Nos partenaires » listant les compagnies d'assurance actives, gérée dynamiquement (ajout/retrait sans développement)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Page Assistance : contact, prise de rendez-vous, informations d'urgence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Menu « Nos assurances » avec sous-menu déroulant par branche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 responsive mobile-first, cohérent avec la charte AAM (bleu/vert, typographie condensée pour les titres)</w:t>
      </w:r>
    </w:p>
    <w:p>
      <w:pPr>
        <w:pStyle w:val="Heading2"/>
        <w:spacing w:after="150" w:before="300"/>
      </w:pPr>
      <w:r>
        <w:t xml:space="preserve">5.2 Comparateur / Wizard de devis (cœur fonctionnel)</w:t>
      </w:r>
    </w:p>
    <w:p>
      <w:pPr>
        <w:spacing w:after="150"/>
      </w:pPr>
      <w:r>
        <w:t xml:space="preserve">Le parcours de devis suit 4 étapes obligatoires, avec barre de progression et possibilité de retour arrière :</w:t>
      </w:r>
    </w:p>
    <w:tbl>
      <w:tblPr>
        <w:tblW w:type="dxa" w:w="11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00"/>
        <w:gridCol w:w="3100"/>
      </w:tblGrid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5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 du formulaire</w:t>
            </w:r>
          </w:p>
        </w:tc>
        <w:tc>
          <w:tcPr>
            <w:tcW w:type="dxa" w:w="3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Règles observées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Type d'assurance</w:t>
            </w:r>
          </w:p>
        </w:tc>
        <w:tc>
          <w:tcPr>
            <w:tcW w:type="dxa" w:w="5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Choix parmi Auto, Santé, Habitation, Voyage, Vie (cartes cliquables avec icône)</w:t>
            </w:r>
          </w:p>
        </w:tc>
        <w:tc>
          <w:tcPr>
            <w:tcW w:type="dxa" w:w="3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 seul choix ; détermine les champs des étapes suivantes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Caractéristiques du bien/véhicule</w:t>
            </w:r>
          </w:p>
        </w:tc>
        <w:tc>
          <w:tcPr>
            <w:tcW w:type="dxa" w:w="5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Ex. Auto : Type du véhicule, Puissance administrative, Énergie, Utilisation du véhicule, Ville (listes déroulantes)</w:t>
            </w:r>
          </w:p>
        </w:tc>
        <w:tc>
          <w:tcPr>
            <w:tcW w:type="dxa" w:w="3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Champs dynamiques selon la branche choisie à l'étape 1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Choix des garanties</w:t>
            </w:r>
          </w:p>
        </w:tc>
        <w:tc>
          <w:tcPr>
            <w:tcW w:type="dxa" w:w="5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Cases à cocher : Responsabilité civile (obligatoire, précochée), Vol &amp; Incendie, Bris de glace, Dommages tous accidents, Défense &amp; recours</w:t>
            </w:r>
          </w:p>
        </w:tc>
        <w:tc>
          <w:tcPr>
            <w:tcW w:type="dxa" w:w="3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Une garantie obligatoire non décochable ; garanties dépendantes (ex. Dommages tous accidents inclut Bris de glace)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Durée du contrat</w:t>
            </w:r>
          </w:p>
        </w:tc>
        <w:tc>
          <w:tcPr>
            <w:tcW w:type="dxa" w:w="5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mois / 6 mois / 3 mois + date de début du contrat (date picker, valeur par défaut = jour courant)</w:t>
            </w:r>
          </w:p>
        </w:tc>
        <w:tc>
          <w:tcPr>
            <w:tcW w:type="dxa" w:w="3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 de tous les champs obligatoires avant accès aux résultats</w:t>
            </w:r>
          </w:p>
        </w:tc>
      </w:tr>
    </w:tbl>
    <w:p>
      <w:pPr>
        <w:spacing w:after="150"/>
      </w:pPr>
      <w:r>
        <w:rPr>
          <w:i/>
          <w:iCs/>
        </w:rPr>
        <w:t xml:space="preserve">Gestion des erreurs : un message d'erreur explicite (« Veuillez remplir les champs obligatoires ») doit s'afficher en cas de champ manquant, sans perte des données déjà saisies.</w:t>
      </w:r>
    </w:p>
    <w:p>
      <w:pPr>
        <w:pStyle w:val="Heading2"/>
        <w:spacing w:after="150" w:before="300"/>
      </w:pPr>
      <w:r>
        <w:t xml:space="preserve">5.3 Page de résultats et moteur de scoring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Affichage du nombre total d'offres trouvées (ex. « 11 offres trouvées sur le marché malien »), calculé dynamiquement selon les compagnies actives et éligibles au profil renseigné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Tri des résultats : Prix croissant (par défaut), Prix décroissant, Meilleure note, Délai de traitement sinistre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Filtres additionnels (icône filtre) : compagnie, niveau de garantie, budget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Badges de recommandation calculés par le backend : « Meilleur rapport » (rapport prix/garanties), « Moins cher », « Qualité premium » (basé sur la note et les garanties incluses)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Pour chaque offre : nom de la compagnie, nom du produit/formule, garanties incluses, note (étoiles), délai de traitement sinistre affiché, prix annuel, bouton « Obtenir mon devis » (PDF/email) et bouton « Souscrire » (démarre le tunnel de souscription et paiement)</w:t>
      </w:r>
    </w:p>
    <w:p>
      <w:pPr>
        <w:pStyle w:val="Heading2"/>
        <w:spacing w:after="150" w:before="300"/>
      </w:pPr>
      <w:r>
        <w:t xml:space="preserve">5.4 Souscription et paiement en ligne</w:t>
      </w:r>
    </w:p>
    <w:p>
      <w:pPr>
        <w:spacing w:after="150"/>
      </w:pPr>
      <w:r>
        <w:t xml:space="preserve">Le parcours de souscription doit s'enchaîner sans rupture depuis le bouton « Souscrire » de la page de résultats.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400"/>
        <w:gridCol w:w="3000"/>
      </w:tblGrid>
      <w:t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Moyen de paiement</w:t>
            </w:r>
          </w:p>
        </w:tc>
        <w:tc>
          <w:tcPr>
            <w:tcW w:type="dxa" w:w="5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Fournisseur / Intégration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 d'usage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Money</w:t>
            </w:r>
          </w:p>
        </w:tc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Orange Money, Wave, Moov Money (API agrégateur recommandée)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Paiement de la prime lors de la souscription et des renouvellements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Carte bancaire</w:t>
            </w:r>
          </w:p>
        </w:tc>
        <w:tc>
          <w:tcPr>
            <w:tcW w:type="dxa" w:w="5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Passerelle de paiement (ex. CinetPay, PayDunya)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Paiement de la prime en ligne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Virement / Espèces</w:t>
            </w:r>
          </w:p>
        </w:tc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Enregistrement manuel par un agent (back-office)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Contrats entreprise ou cas particuliers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t xml:space="preserve">Récapitulatif de commande avant paiement (branche, compagnie, garanties, durée, prix, commission courtage le cas échéant)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Upload des pièces justificatives requises selon la branche (carte grise, pièce d'identité, etc.)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Génération automatique de l'attestation provisoire et de la facture/reçu (PDF) après paiement confirmé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Webhooks de confirmation de paiement pour mise à jour automatique du statut de la souscription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Notifications automatiques (SMS/email) à chaque étape : devis envoyé, paiement reçu, contrat actif</w:t>
      </w:r>
    </w:p>
    <w:p>
      <w:pPr>
        <w:pStyle w:val="Heading2"/>
        <w:spacing w:after="150" w:before="300"/>
      </w:pPr>
      <w:r>
        <w:t xml:space="preserve">5.5 Espace Client (Dashboard)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Tableau de bord : contrats actifs, échéances de renouvellement, sinistres en cours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Historique des devis obtenus et reprise d'un devis non finalisé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Consultation et téléchargement des contrats et attestations (PDF)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Déclaration de sinistre en ligne avec upload de justificatifs et suivi de l'état d'avancement (objectif 72h affiché)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Historique des paiements et paiement des échéances suivantes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Renouvellement, modification ou résiliation de contrat</w:t>
      </w:r>
    </w:p>
    <w:p>
      <w:pPr>
        <w:pStyle w:val="Heading2"/>
        <w:spacing w:after="150" w:before="300"/>
      </w:pPr>
      <w:r>
        <w:t xml:space="preserve">5.6 Espace Agent / Courtier (Dashboard)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Portefeuille clients avec statut des contrats et devis en cours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Création de devis et souscription assistée pour le compte d'un client (accès au même wizard 4 étapes en mode « back-office »)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Suivi des commissions par compagnie partenaire et par contrat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Outils de prospection : liste de prospects, relances, rappel de rendez-vous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Accès aux sinistres des clients de son portefeuille</w:t>
      </w:r>
    </w:p>
    <w:p>
      <w:pPr>
        <w:pStyle w:val="Heading2"/>
        <w:spacing w:after="150" w:before="300"/>
      </w:pPr>
      <w:r>
        <w:t xml:space="preserve">5.7 Dashboard Administrateur / Back-office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Gestion du référentiel des compagnies partenaires : fiche compagnie, statut actif/inactif, logo, note, délai de traitement sinistre affiché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Gestion des produits et grilles tarifaires par compagnie et par branche (paramétrage des règles de tarification utilisées par le wizard)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Configuration du moteur de scoring (pondération utilisée pour les badges Meilleur rapport / Moins cher / Qualité premium)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Vue consolidée : chiffre d'affaires, nombre de devis, taux de transformation devis → souscription, taux de sinistralité, KPIs par branche et par partenaire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Gestion des utilisateurs et des droits d'accès (clients, agents, gestionnaires, correspondants partenaires)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Module de gestion des sinistres : affectation, validation, suivi des remboursements, respect du délai engagé (72h)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Suivi des paiements et réconciliation avec les prestataires Mobile Money/carte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Gestion des chiffres clés affichés en page publique (années d'expérience, nombre de partenaires, taux de satisfaction, nombre de clients)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CMS léger pour les pages de contenu (actualités, argumentaire « Pourquoi nous choisir »)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Reporting et export de données (Excel, PDF), journal d'audit des actions</w:t>
      </w:r>
    </w:p>
    <w:p>
      <w:pPr>
        <w:pStyle w:val="Heading1"/>
        <w:spacing w:after="200" w:before="400"/>
      </w:pPr>
      <w:r>
        <w:t xml:space="preserve">6. Spécifications techniques</w:t>
      </w:r>
    </w:p>
    <w:p>
      <w:pPr>
        <w:pStyle w:val="Heading2"/>
        <w:spacing w:after="150" w:before="300"/>
      </w:pPr>
      <w:r>
        <w:t xml:space="preserve">6.1 Architecture générale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Architecture 3-tiers : Frontend (site public + wizard + 3 dashboards) / Backend API / Base de données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 : application web responsive (React / Next.js) consommant l'API backend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 : API RESTful sécurisée (Node.js/NestJS ou équivalent), authentification JWT/OAuth2, gestion fine des rôles (RBAC)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Base de données relationnelle (PostgreSQL) pour les données transactionnelles (partenaires, produits, tarifs, devis, contrats, sinistres, paiements)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Hébergement Cloud avec environnements séparés (dev, staging, production)</w:t>
      </w:r>
    </w:p>
    <w:p>
      <w:pPr>
        <w:pStyle w:val="Heading2"/>
        <w:spacing w:after="150" w:before="300"/>
      </w:pPr>
      <w:r>
        <w:t xml:space="preserve">6.2 Backend — modules fonctionnels</w:t>
      </w:r>
    </w:p>
    <w:tbl>
      <w:tblPr>
        <w:tblW w:type="dxa" w:w="11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7800"/>
      </w:tblGrid>
      <w:tr>
        <w:tc>
          <w:tcPr>
            <w:tcW w:type="dxa" w:w="3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Référentiel Compagnies &amp; Produits</w:t>
            </w:r>
          </w:p>
        </w:tc>
        <w:tc>
          <w:tcPr>
            <w:tcW w:type="dxa" w:w="7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CRUD des compagnies partenaires, de leurs produits et grilles tarifaires par branche</w:t>
            </w:r>
          </w:p>
        </w:tc>
      </w:tr>
      <w:tr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Moteur de devis &amp; scoring</w:t>
            </w:r>
          </w:p>
        </w:tc>
        <w:tc>
          <w:tcPr>
            <w:tcW w:type="dxa" w:w="7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 du prix selon les caractéristiques saisies, classement des offres et attribution des badges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Gestion des utilisateurs</w:t>
            </w:r>
          </w:p>
        </w:tc>
        <w:tc>
          <w:tcPr>
            <w:tcW w:type="dxa" w:w="7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Authentification, rôles et permissions, profils Client/Agent/Correspondant/Admin</w:t>
            </w:r>
          </w:p>
        </w:tc>
      </w:tr>
      <w:tr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Gestion des devis &amp; contrats</w:t>
            </w:r>
          </w:p>
        </w:tc>
        <w:tc>
          <w:tcPr>
            <w:tcW w:type="dxa" w:w="7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Cycle de vie : simulation, devis, souscription, avenant, renouvellement, résiliation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Gestion des sinistres</w:t>
            </w:r>
          </w:p>
        </w:tc>
        <w:tc>
          <w:tcPr>
            <w:tcW w:type="dxa" w:w="7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Déclaration, instruction, validation, suivi des délais, remboursement</w:t>
            </w:r>
          </w:p>
        </w:tc>
      </w:tr>
      <w:tr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Paiements</w:t>
            </w:r>
          </w:p>
        </w:tc>
        <w:tc>
          <w:tcPr>
            <w:tcW w:type="dxa" w:w="7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Intégration Mobile Money / carte, réconciliation, échéanciers, commissions de courtage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Emails, SMS, notifications in-app (transactionnel et marketing)</w:t>
            </w:r>
          </w:p>
        </w:tc>
      </w:tr>
      <w:tr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Reporting / BI</w:t>
            </w:r>
          </w:p>
        </w:tc>
        <w:tc>
          <w:tcPr>
            <w:tcW w:type="dxa" w:w="7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Agrégation de données, tableaux de bord, exports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Administration &amp; Audit</w:t>
            </w:r>
          </w:p>
        </w:tc>
        <w:tc>
          <w:tcPr>
            <w:tcW w:type="dxa" w:w="7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Gestion des droits, journalisation, traçabilité des actions</w:t>
            </w:r>
          </w:p>
        </w:tc>
      </w:tr>
    </w:tbl>
    <w:p>
      <w:pPr>
        <w:pStyle w:val="Heading2"/>
        <w:spacing w:after="150" w:before="300"/>
      </w:pPr>
      <w:r>
        <w:t xml:space="preserve">6.3 Intégrations externes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 des opérateurs Mobile Money (Orange Money, Wave, Moov Money) ou agrégateur de paiement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Passerelle de paiement carte bancaire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Service d'envoi de SMS et d'emails transactionnels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Éventuelle interconnexion future avec les systèmes d'information des compagnies partenaires (phase 2, échange de tarifs en temps réel)</w:t>
      </w:r>
    </w:p>
    <w:p>
      <w:pPr>
        <w:pStyle w:val="Heading1"/>
        <w:spacing w:after="200" w:before="400"/>
      </w:pPr>
      <w:r>
        <w:t xml:space="preserve">7. Exigences non fonctionnelles</w:t>
      </w:r>
    </w:p>
    <w:p>
      <w:pPr>
        <w:pStyle w:val="Heading2"/>
        <w:spacing w:after="150" w:before="300"/>
      </w:pPr>
      <w:r>
        <w:t xml:space="preserve">7.1 Sécurité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Chiffrement des données sensibles au repos et en transit (HTTPS/TLS)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Authentification forte (2FA) pour les profils Agent, Correspondant partenaire et Administrateur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Séparation stricte des données par compagnie partenaire (un correspondant ne voit que son propre catalogue)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Sauvegardes régulières et plan de reprise d'activité (PRA)</w:t>
      </w:r>
    </w:p>
    <w:p>
      <w:pPr>
        <w:pStyle w:val="Heading2"/>
        <w:spacing w:after="150" w:before="300"/>
      </w:pPr>
      <w:r>
        <w:t xml:space="preserve">7.2 Performance et disponibilité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Disponibilité cible : 99,5% (hors maintenance planifiée)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Calcul et affichage des résultats de comparaison en moins de 3 secondes, conforme à la promesse « Comparez en 30 secondes »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Capacité à monter en charge (scalabilité horizontale du backend)</w:t>
      </w:r>
    </w:p>
    <w:p>
      <w:pPr>
        <w:pStyle w:val="Heading2"/>
        <w:spacing w:after="150" w:before="300"/>
      </w:pPr>
      <w:r>
        <w:t xml:space="preserve">7.3 Ergonomie et accessibilité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Wizard de devis pensé pour un remplissage en moins de 2 minutes, sans information bancaire requise avant l'étape de paiement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 mobile-first, compatible avec une connectivité limitée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Messages d'erreur explicites et non bloquants (conservation de la saisie en cas d'erreur de validation)</w:t>
      </w:r>
    </w:p>
    <w:p>
      <w:pPr>
        <w:pStyle w:val="Heading2"/>
        <w:spacing w:after="150" w:before="300"/>
      </w:pPr>
      <w:r>
        <w:t xml:space="preserve">7.4 Conformité et réglementation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Respect de la réglementation CIMA applicable au courtage d'assurance et aux compagnies référencées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Conditions générales de courtage/utilisation clairement accessibles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Traçabilité des consentements (opt-in) pour les communications marketing</w:t>
      </w:r>
    </w:p>
    <w:p>
      <w:pPr>
        <w:pStyle w:val="Heading1"/>
        <w:spacing w:after="200" w:before="400"/>
      </w:pPr>
      <w:r>
        <w:t xml:space="preserve">8. Livrables attendus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Site web public déployé en production, incluant le comparateur/wizard de devis en 4 étapes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 Client, Agent/Courtier et Administrateur fonctionnels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Backend/API documenté, incluant le moteur de scoring des offres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Référentiel initial des compagnies partenaires chargé (à minima les 11 compagnies identifiées)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Module de paiement intégré et testé (Mobile Money + carte bancaire)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Guide utilisateur pour chaque profil (Client, Agent, Administrateur, Correspondant partenaire)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Environnement de recette (staging) pour validation avant mise en production</w:t>
      </w:r>
    </w:p>
    <w:p>
      <w:pPr>
        <w:pStyle w:val="Heading1"/>
        <w:spacing w:after="200" w:before="400"/>
      </w:pPr>
      <w:r>
        <w:t xml:space="preserve">9. Planning indicatif</w:t>
      </w:r>
    </w:p>
    <w:tbl>
      <w:tblPr>
        <w:tblW w:type="dxa" w:w="11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  <w:gridCol w:w="2100"/>
      </w:tblGrid>
      <w:t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Durée indicative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Cadrage &amp; Design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Spécifications détaillées, maquettes UX/UI, validation du wizard et du moteur de scoring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à 4 semaines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Développement Backend</w:t>
            </w:r>
          </w:p>
        </w:tc>
        <w:tc>
          <w:tcPr>
            <w:tcW w:type="dxa" w:w="6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API, référentiel compagnies/produits, moteur de devis, contrats, sinistres, paiements</w:t>
            </w:r>
          </w:p>
        </w:tc>
        <w:tc>
          <w:tcPr>
            <w:tcW w:type="dxa" w:w="2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à 8 semaines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Développement Frontend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 public, wizard de devis, 3 Dashboards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à 8 semaines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Intégrations paiement</w:t>
            </w:r>
          </w:p>
        </w:tc>
        <w:tc>
          <w:tcPr>
            <w:tcW w:type="dxa" w:w="6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Money, carte bancaire, notifications</w:t>
            </w:r>
          </w:p>
        </w:tc>
        <w:tc>
          <w:tcPr>
            <w:tcW w:type="dxa" w:w="2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semaines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Chargement des données partenaires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Saisie des 11 compagnies, produits et grilles tarifaires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semaines (en parallèle)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Recette &amp; Tests</w:t>
            </w:r>
          </w:p>
        </w:tc>
        <w:tc>
          <w:tcPr>
            <w:tcW w:type="dxa" w:w="6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Tests fonctionnels, sécurité, charge</w:t>
            </w:r>
          </w:p>
        </w:tc>
        <w:tc>
          <w:tcPr>
            <w:tcW w:type="dxa" w:w="2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à 3 semaines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Déploiement &amp; Formation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Mise en production, formation des équipes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à 2 semaines</w:t>
            </w:r>
          </w:p>
        </w:tc>
      </w:tr>
    </w:tbl>
    <w:p>
      <w:pPr>
        <w:spacing w:after="150"/>
      </w:pPr>
      <w:r>
        <w:rPr>
          <w:i/>
          <w:iCs/>
        </w:rPr>
        <w:t xml:space="preserve">Durée totale estimée : environ 5 à 6 mois.</w:t>
      </w:r>
    </w:p>
    <w:p>
      <w:pPr>
        <w:pStyle w:val="Heading1"/>
        <w:spacing w:after="200" w:before="400"/>
      </w:pPr>
      <w:r>
        <w:t xml:space="preserve">10. Annexes</w:t>
      </w:r>
    </w:p>
    <w:p>
      <w:pPr>
        <w:pStyle w:val="Heading2"/>
        <w:spacing w:after="150" w:before="300"/>
      </w:pPr>
      <w:r>
        <w:t xml:space="preserve">10.1 Glossaire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Courtier : intermédiaire mettant en relation l'assuré et une ou plusieurs compagnies d'assurance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CIMA : Conférence Interafricaine des Marchés d'Assurances, organe de régulation régional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Prime : montant payé par l'assuré pour bénéficier de la couverture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Sinistre : événement donnant lieu à une demande d'indemnisation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Scoring d'offre : calcul permettant de classer et labelliser les offres (meilleur rapport, moins cher, qualité premium)</w:t>
      </w:r>
    </w:p>
    <w:p>
      <w:pPr>
        <w:pStyle w:val="Heading2"/>
        <w:spacing w:after="150" w:before="300"/>
      </w:pPr>
      <w:r>
        <w:t xml:space="preserve">10.2 Points ouverts à valider avec le client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Modalités exactes de mise à jour des grilles tarifaires par compagnie (saisie manuelle vs. import fichier vs. API future)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Formule de calcul retenue pour les badges de scoring (pondération prix / garanties / note / délai sinistre)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Choix définitif des agrégateurs Mobile Money et de la passerelle carte bancaire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Niveau d'autonomie donné aux compagnies partenaires (accès correspondant en phase 1 ou reporté en phase 2)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539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2026-07-28T00:57:28.746Z</dcterms:created>
  <dcterms:modified xsi:type="dcterms:W3CDTF">2026-07-28T00:57:28.758Z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