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</w:rPr>
        <w:t>Быстрая покупка</w:t>
      </w:r>
    </w:p>
    <w:p>
      <w:pPr>
        <w:pStyle w:val="Subtitle"/>
        <w:jc w:val="center"/>
      </w:pPr>
      <w:r>
        <w:t>Нормализованное описание сценария обмена между сайтом / Битрикс24 и 1С УНФ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071"/>
      </w:tblGrid>
      <w:tr>
        <w:tc>
          <w:tcPr>
            <w:tcW w:type="dxa" w:w="9746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/>
            </w:pPr>
            <w:r>
              <w:rPr>
                <w:i/>
                <w:color w:val="5A5A5A"/>
                <w:sz w:val="20"/>
              </w:rPr>
              <w:t>Примечание. Описание построено по читаемой структуре схемы. Мелкие подписи на исходном изображении местами размыты, поэтому документ фиксирует рабочую интерпретацию бизнес-сценария и состав данных, который логично использовать в ТЗ.</w:t>
            </w:r>
          </w:p>
        </w:tc>
      </w:tr>
    </w:tbl>
    <w:p/>
    <w:p>
      <w:pPr>
        <w:pStyle w:val="Heading1"/>
      </w:pPr>
      <w:r>
        <w:t>1. Что такое «Быстрая покупка»</w:t>
      </w:r>
    </w:p>
    <w:p>
      <w:r>
        <w:t>Быстрая покупка — это упрощённый сценарий обмена между сайтом / Битрикс24 и 1С УНФ, при котором в учётную систему передаётся минимально необходимый набор данных для оперативного оформления продажи товара или услуги.</w:t>
      </w:r>
    </w:p>
    <w:p>
      <w:r>
        <w:t>В отличие от аренды, в этом сценарии нет периода пользования боксом и нет договорной логики аренды. Основная задача — быстро зафиксировать продажу, создать учётный документ в 1С и вернуть статус обработки обратно в CRM.</w:t>
      </w:r>
    </w:p>
    <w:p>
      <w:pPr>
        <w:pStyle w:val="Heading1"/>
      </w:pPr>
      <w:r>
        <w:t>2. Чем этот сценарий отличается от быстрой аренды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8D6E5"/>
          <w:left w:val="single" w:sz="8" w:space="0" w:color="C8D6E5"/>
          <w:bottom w:val="single" w:sz="8" w:space="0" w:color="C8D6E5"/>
          <w:right w:val="single" w:sz="8" w:space="0" w:color="C8D6E5"/>
          <w:insideH w:val="single" w:sz="8" w:space="0" w:color="C8D6E5"/>
          <w:insideV w:val="single" w:sz="8" w:space="0" w:color="C8D6E5"/>
        </w:tblBorders>
      </w:tblPr>
      <w:tblGrid>
        <w:gridCol w:w="3005"/>
        <w:gridCol w:w="3118"/>
        <w:gridCol w:w="2948"/>
      </w:tblGrid>
      <w:tr>
        <w:tc>
          <w:tcPr>
            <w:tcW w:type="dxa" w:w="3249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Критерий</w:t>
            </w:r>
          </w:p>
        </w:tc>
        <w:tc>
          <w:tcPr>
            <w:tcW w:type="dxa" w:w="3249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Быстрая аренда</w:t>
            </w:r>
          </w:p>
        </w:tc>
        <w:tc>
          <w:tcPr>
            <w:tcW w:type="dxa" w:w="3249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Быстрая покупка</w:t>
            </w:r>
          </w:p>
        </w:tc>
      </w:tr>
      <w:t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20"/>
              </w:rPr>
              <w:t>Предмет операции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Бокс и его использование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Товар или услуга</w:t>
            </w:r>
          </w:p>
        </w:tc>
      </w:tr>
      <w:t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20"/>
              </w:rPr>
              <w:t>Ключевые поля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Дата начала, срок, тариф, стоимость аренды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Номенклатура, количество, цена, сумма</w:t>
            </w:r>
          </w:p>
        </w:tc>
      </w:tr>
      <w:t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20"/>
              </w:rPr>
              <w:t>Результат в 1С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Черновик / заказ / предварительная аренда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Документ продажи / заказ клиента / реализация</w:t>
            </w:r>
          </w:p>
        </w:tc>
      </w:tr>
      <w:t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20"/>
              </w:rPr>
              <w:t>Бизнес-смысл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Быстро занять бокс за клиентом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Быстро оформить разовую покупку</w:t>
            </w:r>
          </w:p>
        </w:tc>
      </w:tr>
    </w:tbl>
    <w:p/>
    <w:p>
      <w:pPr>
        <w:pStyle w:val="Heading1"/>
      </w:pPr>
      <w:r>
        <w:t>3. Логика сценария по шагам</w:t>
      </w:r>
    </w:p>
    <w:p>
      <w:pPr>
        <w:spacing w:after="100"/>
      </w:pPr>
      <w:r>
        <w:rPr>
          <w:b/>
        </w:rPr>
        <w:t xml:space="preserve">Шаг 1. </w:t>
      </w:r>
      <w:r>
        <w:t>Инициирование покупки. Сценарий стартует с сайта, из Битрикс24 или вручную менеджером.</w:t>
      </w:r>
    </w:p>
    <w:p>
      <w:pPr>
        <w:spacing w:after="100"/>
      </w:pPr>
      <w:r>
        <w:rPr>
          <w:b/>
        </w:rPr>
        <w:t xml:space="preserve">Шаг 2. </w:t>
      </w:r>
      <w:r>
        <w:t>Создание упрощённой карточки в Битрикс24. Это может быть сделка, заказ, смарт-процесс либо отдельная сущность продажи.</w:t>
      </w:r>
    </w:p>
    <w:p>
      <w:pPr>
        <w:spacing w:after="100"/>
      </w:pPr>
      <w:r>
        <w:rPr>
          <w:b/>
        </w:rPr>
        <w:t xml:space="preserve">Шаг 3. </w:t>
      </w:r>
      <w:r>
        <w:t>Передача минимального пакета данных в 1С. В обмен должны входить клиент, состав покупки, суммы, способ оплаты и CRM-идентификаторы.</w:t>
      </w:r>
    </w:p>
    <w:p>
      <w:pPr>
        <w:spacing w:after="100"/>
      </w:pPr>
      <w:r>
        <w:rPr>
          <w:b/>
        </w:rPr>
        <w:t xml:space="preserve">Шаг 4. </w:t>
      </w:r>
      <w:r>
        <w:t>Создание документа продажи в 1С. На стороне учётной системы может появляться заказ клиента, реализация, чек или черновик продажи.</w:t>
      </w:r>
    </w:p>
    <w:p>
      <w:pPr>
        <w:spacing w:after="100"/>
      </w:pPr>
      <w:r>
        <w:rPr>
          <w:b/>
        </w:rPr>
        <w:t xml:space="preserve">Шаг 5. </w:t>
      </w:r>
      <w:r>
        <w:t>Возврат результата в Битрикс24. Из 1С обратно приходят статус обработки, номер документа, внешний ID и текст ошибки при неуспехе.</w:t>
      </w:r>
    </w:p>
    <w:p>
      <w:pPr>
        <w:pStyle w:val="Heading1"/>
      </w:pPr>
      <w:r>
        <w:t>4. Состав сущности «Быстрая покупка»</w:t>
      </w:r>
    </w:p>
    <w:p>
      <w:pPr>
        <w:pStyle w:val="Heading2"/>
      </w:pPr>
      <w:r>
        <w:t>4.1. Клиент</w:t>
      </w:r>
    </w:p>
    <w:p>
      <w:pPr>
        <w:spacing w:after="80"/>
        <w:ind w:left="0"/>
      </w:pPr>
      <w:r>
        <w:rPr>
          <w:b/>
        </w:rPr>
        <w:t xml:space="preserve">• </w:t>
      </w:r>
      <w:r>
        <w:t>ФИО или наименование компании.</w:t>
      </w:r>
    </w:p>
    <w:p>
      <w:pPr>
        <w:spacing w:after="80"/>
        <w:ind w:left="0"/>
      </w:pPr>
      <w:r>
        <w:rPr>
          <w:b/>
        </w:rPr>
        <w:t xml:space="preserve">• </w:t>
      </w:r>
      <w:r>
        <w:t>Телефон.</w:t>
      </w:r>
    </w:p>
    <w:p>
      <w:pPr>
        <w:spacing w:after="80"/>
        <w:ind w:left="0"/>
      </w:pPr>
      <w:r>
        <w:rPr>
          <w:b/>
        </w:rPr>
        <w:t xml:space="preserve">• </w:t>
      </w:r>
      <w:r>
        <w:t>Email, если он есть.</w:t>
      </w:r>
    </w:p>
    <w:p>
      <w:pPr>
        <w:spacing w:after="80"/>
        <w:ind w:left="0"/>
      </w:pPr>
      <w:r>
        <w:rPr>
          <w:b/>
        </w:rPr>
        <w:t xml:space="preserve">• </w:t>
      </w:r>
      <w:r>
        <w:t>Тип клиента: физлицо или компания.</w:t>
      </w:r>
    </w:p>
    <w:p>
      <w:pPr>
        <w:pStyle w:val="Heading2"/>
      </w:pPr>
      <w:r>
        <w:t>4.2. Покупка</w:t>
      </w:r>
    </w:p>
    <w:p>
      <w:pPr>
        <w:spacing w:after="80"/>
        <w:ind w:left="0"/>
      </w:pPr>
      <w:r>
        <w:rPr>
          <w:b/>
        </w:rPr>
        <w:t xml:space="preserve">• </w:t>
      </w:r>
      <w:r>
        <w:t>ID или номер заказа в CRM.</w:t>
      </w:r>
    </w:p>
    <w:p>
      <w:pPr>
        <w:spacing w:after="80"/>
        <w:ind w:left="0"/>
      </w:pPr>
      <w:r>
        <w:rPr>
          <w:b/>
        </w:rPr>
        <w:t xml:space="preserve">• </w:t>
      </w:r>
      <w:r>
        <w:t>Дата создания.</w:t>
      </w:r>
    </w:p>
    <w:p>
      <w:pPr>
        <w:spacing w:after="80"/>
        <w:ind w:left="0"/>
      </w:pPr>
      <w:r>
        <w:rPr>
          <w:b/>
        </w:rPr>
        <w:t xml:space="preserve">• </w:t>
      </w:r>
      <w:r>
        <w:t>Источник обращения.</w:t>
      </w:r>
    </w:p>
    <w:p>
      <w:pPr>
        <w:spacing w:after="80"/>
        <w:ind w:left="0"/>
      </w:pPr>
      <w:r>
        <w:rPr>
          <w:b/>
        </w:rPr>
        <w:t xml:space="preserve">• </w:t>
      </w:r>
      <w:r>
        <w:t>Ответственный менеджер.</w:t>
      </w:r>
    </w:p>
    <w:p>
      <w:pPr>
        <w:spacing w:after="80"/>
        <w:ind w:left="0"/>
      </w:pPr>
      <w:r>
        <w:rPr>
          <w:b/>
        </w:rPr>
        <w:t xml:space="preserve">• </w:t>
      </w:r>
      <w:r>
        <w:t>Комментарий менеджера или клиента.</w:t>
      </w:r>
    </w:p>
    <w:p>
      <w:pPr>
        <w:pStyle w:val="Heading2"/>
      </w:pPr>
      <w:r>
        <w:t>4.3. Состав покупки</w:t>
      </w:r>
    </w:p>
    <w:p>
      <w:pPr>
        <w:spacing w:after="80"/>
        <w:ind w:left="0"/>
      </w:pPr>
      <w:r>
        <w:rPr>
          <w:b/>
        </w:rPr>
        <w:t xml:space="preserve">• </w:t>
      </w:r>
      <w:r>
        <w:t>ID номенклатуры.</w:t>
      </w:r>
    </w:p>
    <w:p>
      <w:pPr>
        <w:spacing w:after="80"/>
        <w:ind w:left="0"/>
      </w:pPr>
      <w:r>
        <w:rPr>
          <w:b/>
        </w:rPr>
        <w:t xml:space="preserve">• </w:t>
      </w:r>
      <w:r>
        <w:t>Название товара или услуги.</w:t>
      </w:r>
    </w:p>
    <w:p>
      <w:pPr>
        <w:spacing w:after="80"/>
        <w:ind w:left="0"/>
      </w:pPr>
      <w:r>
        <w:rPr>
          <w:b/>
        </w:rPr>
        <w:t xml:space="preserve">• </w:t>
      </w:r>
      <w:r>
        <w:t>Количество.</w:t>
      </w:r>
    </w:p>
    <w:p>
      <w:pPr>
        <w:spacing w:after="80"/>
        <w:ind w:left="0"/>
      </w:pPr>
      <w:r>
        <w:rPr>
          <w:b/>
        </w:rPr>
        <w:t xml:space="preserve">• </w:t>
      </w:r>
      <w:r>
        <w:t>Цена за единицу.</w:t>
      </w:r>
    </w:p>
    <w:p>
      <w:pPr>
        <w:spacing w:after="80"/>
        <w:ind w:left="0"/>
      </w:pPr>
      <w:r>
        <w:rPr>
          <w:b/>
        </w:rPr>
        <w:t xml:space="preserve">• </w:t>
      </w:r>
      <w:r>
        <w:t>Скидка, если применяется.</w:t>
      </w:r>
    </w:p>
    <w:p>
      <w:pPr>
        <w:spacing w:after="80"/>
        <w:ind w:left="0"/>
      </w:pPr>
      <w:r>
        <w:rPr>
          <w:b/>
        </w:rPr>
        <w:t xml:space="preserve">• </w:t>
      </w:r>
      <w:r>
        <w:t>Сумма по строке и итоговая сумма.</w:t>
      </w:r>
    </w:p>
    <w:p>
      <w:pPr>
        <w:pStyle w:val="Heading2"/>
      </w:pPr>
      <w:r>
        <w:t>4.4. Оплата</w:t>
      </w:r>
    </w:p>
    <w:p>
      <w:pPr>
        <w:spacing w:after="80"/>
        <w:ind w:left="0"/>
      </w:pPr>
      <w:r>
        <w:rPr>
          <w:b/>
        </w:rPr>
        <w:t xml:space="preserve">• </w:t>
      </w:r>
      <w:r>
        <w:t>Способ оплаты.</w:t>
      </w:r>
    </w:p>
    <w:p>
      <w:pPr>
        <w:spacing w:after="80"/>
        <w:ind w:left="0"/>
      </w:pPr>
      <w:r>
        <w:rPr>
          <w:b/>
        </w:rPr>
        <w:t xml:space="preserve">• </w:t>
      </w:r>
      <w:r>
        <w:t>Статус оплаты.</w:t>
      </w:r>
    </w:p>
    <w:p>
      <w:pPr>
        <w:spacing w:after="80"/>
        <w:ind w:left="0"/>
      </w:pPr>
      <w:r>
        <w:rPr>
          <w:b/>
        </w:rPr>
        <w:t xml:space="preserve">• </w:t>
      </w:r>
      <w:r>
        <w:t>Сумма оплаты.</w:t>
      </w:r>
    </w:p>
    <w:p>
      <w:pPr>
        <w:spacing w:after="80"/>
        <w:ind w:left="0"/>
      </w:pPr>
      <w:r>
        <w:rPr>
          <w:b/>
        </w:rPr>
        <w:t xml:space="preserve">• </w:t>
      </w:r>
      <w:r>
        <w:t>Признак предоплаты или полной оплаты.</w:t>
      </w:r>
    </w:p>
    <w:p>
      <w:pPr>
        <w:pStyle w:val="Heading2"/>
      </w:pPr>
      <w:r>
        <w:t>4.5. Связи между системами</w:t>
      </w:r>
    </w:p>
    <w:p>
      <w:pPr>
        <w:spacing w:after="80"/>
        <w:ind w:left="0"/>
      </w:pPr>
      <w:r>
        <w:rPr>
          <w:b/>
        </w:rPr>
        <w:t xml:space="preserve">• </w:t>
      </w:r>
      <w:r>
        <w:t>ID контакта в Битрикс24.</w:t>
      </w:r>
    </w:p>
    <w:p>
      <w:pPr>
        <w:spacing w:after="80"/>
        <w:ind w:left="0"/>
      </w:pPr>
      <w:r>
        <w:rPr>
          <w:b/>
        </w:rPr>
        <w:t xml:space="preserve">• </w:t>
      </w:r>
      <w:r>
        <w:t>ID компании.</w:t>
      </w:r>
    </w:p>
    <w:p>
      <w:pPr>
        <w:spacing w:after="80"/>
        <w:ind w:left="0"/>
      </w:pPr>
      <w:r>
        <w:rPr>
          <w:b/>
        </w:rPr>
        <w:t xml:space="preserve">• </w:t>
      </w:r>
      <w:r>
        <w:t>ID сделки или смарт-процесса.</w:t>
      </w:r>
    </w:p>
    <w:p>
      <w:pPr>
        <w:spacing w:after="80"/>
        <w:ind w:left="0"/>
      </w:pPr>
      <w:r>
        <w:rPr>
          <w:b/>
        </w:rPr>
        <w:t xml:space="preserve">• </w:t>
      </w:r>
      <w:r>
        <w:t>Внешний ID продажи в 1С.</w:t>
      </w:r>
    </w:p>
    <w:p>
      <w:pPr>
        <w:spacing w:after="80"/>
        <w:ind w:left="0"/>
      </w:pPr>
      <w:r>
        <w:rPr>
          <w:b/>
        </w:rPr>
        <w:t xml:space="preserve">• </w:t>
      </w:r>
      <w:r>
        <w:t>Внешний ID клиента.</w:t>
      </w:r>
    </w:p>
    <w:p>
      <w:pPr>
        <w:pStyle w:val="Heading1"/>
      </w:pPr>
      <w:r>
        <w:t>5. Минимальный набор полей для обмена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8D6E5"/>
          <w:left w:val="single" w:sz="8" w:space="0" w:color="C8D6E5"/>
          <w:bottom w:val="single" w:sz="8" w:space="0" w:color="C8D6E5"/>
          <w:right w:val="single" w:sz="8" w:space="0" w:color="C8D6E5"/>
          <w:insideH w:val="single" w:sz="8" w:space="0" w:color="C8D6E5"/>
          <w:insideV w:val="single" w:sz="8" w:space="0" w:color="C8D6E5"/>
        </w:tblBorders>
      </w:tblPr>
      <w:tblGrid>
        <w:gridCol w:w="3515"/>
        <w:gridCol w:w="2948"/>
        <w:gridCol w:w="2835"/>
      </w:tblGrid>
      <w:tr>
        <w:tc>
          <w:tcPr>
            <w:tcW w:type="dxa" w:w="3249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Поле</w:t>
            </w:r>
          </w:p>
        </w:tc>
        <w:tc>
          <w:tcPr>
            <w:tcW w:type="dxa" w:w="3249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Статус</w:t>
            </w:r>
          </w:p>
        </w:tc>
        <w:tc>
          <w:tcPr>
            <w:tcW w:type="dxa" w:w="3249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Назначение</w:t>
            </w:r>
          </w:p>
        </w:tc>
      </w:tr>
      <w:t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crm_purchase_id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Обязательное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Идентификатор покупки в CRM.</w:t>
            </w:r>
          </w:p>
        </w:tc>
      </w:tr>
      <w:t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customer_name / customer_phone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Обязательное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Минимальная идентификация покупателя.</w:t>
            </w:r>
          </w:p>
        </w:tc>
      </w:tr>
      <w:t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items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Обязательное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Массив строк товара или услуги.</w:t>
            </w:r>
          </w:p>
        </w:tc>
      </w:tr>
      <w:t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product_id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Обязательное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ID номенклатуры.</w:t>
            </w:r>
          </w:p>
        </w:tc>
      </w:tr>
      <w:t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quantity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Обязательное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Количество.</w:t>
            </w:r>
          </w:p>
        </w:tc>
      </w:tr>
      <w:t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price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Обязательное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Цена за единицу.</w:t>
            </w:r>
          </w:p>
        </w:tc>
      </w:tr>
      <w:t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amount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Обязательное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Итоговая сумма.</w:t>
            </w:r>
          </w:p>
        </w:tc>
      </w:tr>
      <w:t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payment_type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Желательное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Способ оплаты.</w:t>
            </w:r>
          </w:p>
        </w:tc>
      </w:tr>
      <w:t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payment_status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Желательное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Статус оплаты.</w:t>
            </w:r>
          </w:p>
        </w:tc>
      </w:tr>
      <w:t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discount_amount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Желательное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Размер скидки.</w:t>
            </w:r>
          </w:p>
        </w:tc>
      </w:tr>
      <w:t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comment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Желательное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Комментарий к продаже.</w:t>
            </w:r>
          </w:p>
        </w:tc>
      </w:tr>
    </w:tbl>
    <w:p/>
    <w:p>
      <w:pPr>
        <w:pStyle w:val="Heading1"/>
      </w:pPr>
      <w:r>
        <w:t>6. Что должно вернуться из 1С</w:t>
      </w:r>
    </w:p>
    <w:p>
      <w:pPr>
        <w:spacing w:after="80"/>
        <w:ind w:left="0"/>
      </w:pPr>
      <w:r>
        <w:rPr>
          <w:b/>
        </w:rPr>
        <w:t xml:space="preserve">• </w:t>
      </w:r>
      <w:r>
        <w:t>success — признак успешной обработки;</w:t>
      </w:r>
    </w:p>
    <w:p>
      <w:pPr>
        <w:spacing w:after="80"/>
        <w:ind w:left="0"/>
      </w:pPr>
      <w:r>
        <w:rPr>
          <w:b/>
        </w:rPr>
        <w:t xml:space="preserve">• </w:t>
      </w:r>
      <w:r>
        <w:t>message — текстовый результат или описание ошибки;</w:t>
      </w:r>
    </w:p>
    <w:p>
      <w:pPr>
        <w:spacing w:after="80"/>
        <w:ind w:left="0"/>
      </w:pPr>
      <w:r>
        <w:rPr>
          <w:b/>
        </w:rPr>
        <w:t xml:space="preserve">• </w:t>
      </w:r>
      <w:r>
        <w:t>external_sale_id — внешний ID продажи в 1С;</w:t>
      </w:r>
    </w:p>
    <w:p>
      <w:pPr>
        <w:spacing w:after="80"/>
        <w:ind w:left="0"/>
      </w:pPr>
      <w:r>
        <w:rPr>
          <w:b/>
        </w:rPr>
        <w:t xml:space="preserve">• </w:t>
      </w:r>
      <w:r>
        <w:t>document_number — номер документа продажи;</w:t>
      </w:r>
    </w:p>
    <w:p>
      <w:pPr>
        <w:spacing w:after="80"/>
        <w:ind w:left="0"/>
      </w:pPr>
      <w:r>
        <w:rPr>
          <w:b/>
        </w:rPr>
        <w:t xml:space="preserve">• </w:t>
      </w:r>
      <w:r>
        <w:t>external_customer_id — внешний ID клиента;</w:t>
      </w:r>
    </w:p>
    <w:p>
      <w:pPr>
        <w:spacing w:after="80"/>
        <w:ind w:left="0"/>
      </w:pPr>
      <w:r>
        <w:rPr>
          <w:b/>
        </w:rPr>
        <w:t xml:space="preserve">• </w:t>
      </w:r>
      <w:r>
        <w:t>payment_status — статус оплаты;</w:t>
      </w:r>
    </w:p>
    <w:p>
      <w:pPr>
        <w:spacing w:after="80"/>
        <w:ind w:left="0"/>
      </w:pPr>
      <w:r>
        <w:rPr>
          <w:b/>
        </w:rPr>
        <w:t xml:space="preserve">• </w:t>
      </w:r>
      <w:r>
        <w:t>sync_status — служебный статус синхронизации.</w:t>
      </w:r>
    </w:p>
    <w:p>
      <w:pPr>
        <w:pStyle w:val="Heading1"/>
      </w:pPr>
      <w:r>
        <w:t>7. Бизнес-смысл сценария</w:t>
      </w:r>
    </w:p>
    <w:p>
      <w:r>
        <w:t>Сценарий нужен в тех случаях, когда важно быстро оформить продажу без длинного процесса заполнения карточек и без логики аренды. Он подходит для разовых покупок, дополнительных услуг, сопутствующих товаров и других операций, которые должны быть быстро проведены в 1С.</w:t>
      </w:r>
    </w:p>
    <w:p>
      <w:pPr>
        <w:pStyle w:val="Heading1"/>
      </w:pPr>
      <w:r>
        <w:t>8. Формулировка для ТЗ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D7A8"/>
          <w:left w:val="single" w:sz="8" w:space="0" w:color="B7D7A8"/>
          <w:bottom w:val="single" w:sz="8" w:space="0" w:color="B7D7A8"/>
          <w:right w:val="single" w:sz="8" w:space="0" w:color="B7D7A8"/>
          <w:insideH w:val="single" w:sz="8" w:space="0" w:color="B7D7A8"/>
          <w:insideV w:val="single" w:sz="8" w:space="0" w:color="B7D7A8"/>
        </w:tblBorders>
      </w:tblPr>
      <w:tblGrid>
        <w:gridCol w:w="9071"/>
      </w:tblGrid>
      <w:tr>
        <w:tc>
          <w:tcPr>
            <w:tcW w:type="dxa" w:w="9746"/>
            <w:shd w:fill="F6FB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Быстрая покупка — это упрощённый сценарий обмена между Битрикс24 и 1С, при котором в учётную систему передаётся минимально необходимый набор данных для оперативного оформления продажи товара или услуги. Сценарий не предполагает оформления аренды и используется для разовых покупок. На основании данных из Битрикс24 в 1С создаётся документ продажи, после чего обратно возвращаются идентификатор записи, номер документа и статус обработки.</w:t>
            </w:r>
          </w:p>
        </w:tc>
      </w:tr>
    </w:tbl>
    <w:p/>
    <w:p>
      <w:pPr>
        <w:jc w:val="center"/>
      </w:pPr>
      <w:r>
        <w:rPr>
          <w:b/>
          <w:color w:val="2C3E50"/>
        </w:rPr>
        <w:t>Итог: быстрая покупка — это не аренда бокса, а быстрое оформление продажи с минимумом полей.</w:t>
      </w:r>
    </w:p>
    <w:p>
      <w:pPr>
        <w:pStyle w:val="Heading1"/>
        <w:spacing w:before="280" w:after="160"/>
      </w:pPr>
      <w:r>
        <w:rPr>
          <w:rFonts w:ascii="Arial" w:hAnsi="Arial" w:eastAsia="Arial"/>
          <w:b/>
          <w:color w:val="1F4E79"/>
          <w:sz w:val="34"/>
        </w:rPr>
        <w:t>9. Уточнение по блоку «Поля для отправки / получения»</w:t>
      </w:r>
    </w:p>
    <w:p>
      <w:pPr>
        <w:spacing w:after="160" w:line="269" w:lineRule="auto"/>
      </w:pPr>
      <w:r>
        <w:rPr>
          <w:rFonts w:ascii="Arial" w:hAnsi="Arial" w:eastAsia="Arial"/>
          <w:i/>
          <w:color w:val="595959"/>
          <w:sz w:val="21"/>
        </w:rPr>
        <w:t>Ниже добавлен нормализованный состав полей по нижнему блоку схемы. Он уточняет, какие данные должны реально уйти из CRM / сайта в 1С и какие ответные реквизиты нужно вернуть обратно в Битрикс24.</w:t>
      </w:r>
    </w:p>
    <w:p>
      <w:pPr>
        <w:pStyle w:val="Heading1"/>
        <w:spacing w:before="160" w:after="100"/>
      </w:pPr>
      <w:r>
        <w:rPr>
          <w:rFonts w:ascii="Arial" w:hAnsi="Arial" w:eastAsia="Arial"/>
          <w:b/>
          <w:color w:val="1F4E79"/>
          <w:sz w:val="25"/>
        </w:rPr>
        <w:t>Отправка в 1С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1"/>
              </w:rPr>
              <w:t>Поле / группа</w:t>
            </w:r>
          </w:p>
        </w:tc>
        <w:tc>
          <w:tcPr>
            <w:tcW w:type="dxa" w:w="6350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1"/>
              </w:rPr>
              <w:t>Описание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crm_purchase_id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Идентификатор покупки или продажи в CRM.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contact_id / company_id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Связь с контактом и, при наличии, с компанией.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customer_name, customer_phone, email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Минимальная идентификация покупателя.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items[].product_id, items[].product_name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Идентификаторы и наименования товаров / услуг в составе покупки.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items[].quantity, items[].price, items[].amount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Количество, цена и сумма по каждой строке.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amount, discount_amount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Итоговая сумма покупки и скидка, если она применяется.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payment_type, payment_status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Способ оплаты и текущее состояние оплаты на момент отправки.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manager_id, external_source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Ответственный менеджер и источник обращения.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comment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Комментарий менеджера или клиента к продаже.</w:t>
            </w:r>
          </w:p>
        </w:tc>
      </w:tr>
    </w:tbl>
    <w:p/>
    <w:p>
      <w:pPr>
        <w:pStyle w:val="Heading1"/>
        <w:spacing w:before="160" w:after="100"/>
      </w:pPr>
      <w:r>
        <w:rPr>
          <w:rFonts w:ascii="Arial" w:hAnsi="Arial" w:eastAsia="Arial"/>
          <w:b/>
          <w:color w:val="1F4E79"/>
          <w:sz w:val="25"/>
        </w:rPr>
        <w:t>Получение из 1С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1"/>
              </w:rPr>
              <w:t>Поле / группа</w:t>
            </w:r>
          </w:p>
        </w:tc>
        <w:tc>
          <w:tcPr>
            <w:tcW w:type="dxa" w:w="6350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1"/>
              </w:rPr>
              <w:t>Описание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success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Признак успешной обработки продажи в 1С.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message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Результат обработки или текст ошибки.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external_sale_id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Идентификатор продажи / документа в 1С.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external_customer_id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Идентификатор клиента, найденного или созданного в 1С.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document_number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Номер документа продажи в 1С.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payment_status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Актуальный статус оплаты после обработки в учетной системе.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sync_status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Служебный статус синхронизации.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C3E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2C3E5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5A5A5A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