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Полноценный заказ на аренду бокса</w:t>
      </w:r>
    </w:p>
    <w:p>
      <w:pPr>
        <w:pStyle w:val="SubtitleCustom"/>
      </w:pPr>
      <w:r>
        <w:t xml:space="preserve">Описание верхнего обмена данными по схеме «Сайт → Битрикс24 → 1С УНФ». </w:t>
      </w:r>
      <w:r>
        <w:t>Документ подготовлен по визуально читаемой части схемы; часть мелких подписей на исходном изображении неразборчива, поэтому ниже приведена нормализованная бизнес-спецификация.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20"/>
              </w:rPr>
              <w:t>Коротко: верхний блок описывает не лид и не простую заявку на звонок, а полноценную бизнес-сущность аренды — клиента, выбранный бокс, период аренды, тариф, деньги, связи с CRM и результат передачи в 1С.</w:t>
            </w:r>
          </w:p>
        </w:tc>
      </w:tr>
    </w:tbl>
    <w:p/>
    <w:p>
      <w:pPr>
        <w:pStyle w:val="Heading1"/>
      </w:pPr>
      <w:r>
        <w:t>1. Назначение обмена</w:t>
      </w:r>
    </w:p>
    <w:p>
      <w:pPr/>
      <w:r>
        <w:t>Верхний обмен данных нужен для передачи из Битрикс24 в 1С УНФ не просто обращения клиента, а готового заказа на аренду бокса.</w:t>
      </w:r>
    </w:p>
    <w:p>
      <w:pPr/>
      <w:r>
        <w:t>На стороне CRM заказ собирается из связанных сущностей: клиента, сделки или карточки аренды, выбранного бокса, периода аренды и финансовых условий.</w:t>
      </w:r>
    </w:p>
    <w:p>
      <w:pPr/>
      <w:r>
        <w:t>На стороне 1С на основании этих данных создаются или обновляются учетные сущности: клиент, заказ, при необходимости договор, привязка к боксу и связанные идентификаторы для последующей синхронизации.</w:t>
      </w:r>
    </w:p>
    <w:p>
      <w:pPr>
        <w:pStyle w:val="Heading1"/>
      </w:pPr>
      <w:r>
        <w:t>2. Участники обмена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Участник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Роль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Что передает / получает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Сайт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Точка первичного ввода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Может передавать заявку, данные клиента, выбранный бокс, даты и контактные данные.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Битрикс24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CRM-слой и центр оркестрации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Собирает заказ, хранит связи между сущностями, формирует пакет обмена и принимает ответ от 1С.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1С УНФ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Учетная система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Создает или обновляет клиента, заказ и связанные учетные объекты; возвращает идентификаторы и статус обработки.</w:t>
            </w:r>
          </w:p>
        </w:tc>
      </w:tr>
    </w:tbl>
    <w:p>
      <w:pPr>
        <w:pStyle w:val="Heading1"/>
      </w:pPr>
      <w:r>
        <w:t>3. Что считается полноценным заказом</w:t>
      </w:r>
    </w:p>
    <w:p>
      <w:pPr/>
      <w:r>
        <w:t>Полноценный заказ на аренду бокса — это единый пакет данных, который содержит:</w:t>
      </w:r>
    </w:p>
    <w:p>
      <w:pPr>
        <w:spacing w:after="40"/>
        <w:ind w:left="340"/>
      </w:pPr>
      <w:r>
        <w:rPr>
          <w:rFonts w:ascii="Arial" w:hAnsi="Arial" w:eastAsia="Arial"/>
        </w:rPr>
        <w:t>• клиента или контрагента;</w:t>
      </w:r>
    </w:p>
    <w:p>
      <w:pPr>
        <w:spacing w:after="40"/>
        <w:ind w:left="340"/>
      </w:pPr>
      <w:r>
        <w:rPr>
          <w:rFonts w:ascii="Arial" w:hAnsi="Arial" w:eastAsia="Arial"/>
        </w:rPr>
        <w:t>• сам объект аренды — конкретный бокс;</w:t>
      </w:r>
    </w:p>
    <w:p>
      <w:pPr>
        <w:spacing w:after="40"/>
        <w:ind w:left="340"/>
      </w:pPr>
      <w:r>
        <w:rPr>
          <w:rFonts w:ascii="Arial" w:hAnsi="Arial" w:eastAsia="Arial"/>
        </w:rPr>
        <w:t>• срок аренды и дату начала;</w:t>
      </w:r>
    </w:p>
    <w:p>
      <w:pPr>
        <w:spacing w:after="40"/>
        <w:ind w:left="340"/>
      </w:pPr>
      <w:r>
        <w:rPr>
          <w:rFonts w:ascii="Arial" w:hAnsi="Arial" w:eastAsia="Arial"/>
        </w:rPr>
        <w:t>• тариф, сумму, депозит и иные финансовые условия;</w:t>
      </w:r>
    </w:p>
    <w:p>
      <w:pPr>
        <w:spacing w:after="40"/>
        <w:ind w:left="340"/>
      </w:pPr>
      <w:r>
        <w:rPr>
          <w:rFonts w:ascii="Arial" w:hAnsi="Arial" w:eastAsia="Arial"/>
        </w:rPr>
        <w:t>• связи с сущностями CRM;</w:t>
      </w:r>
    </w:p>
    <w:p>
      <w:pPr>
        <w:spacing w:after="40"/>
        <w:ind w:left="340"/>
      </w:pPr>
      <w:r>
        <w:rPr>
          <w:rFonts w:ascii="Arial" w:hAnsi="Arial" w:eastAsia="Arial"/>
        </w:rPr>
        <w:t>• идентификаторы, необходимые для повторной синхронизации.</w:t>
      </w:r>
    </w:p>
    <w:p>
      <w:pPr/>
      <w:r>
        <w:t>Если в карточке есть только имя, телефон и краткий комментарий «хочу арендовать», это еще не полноценный заказ, а лид или заявка.</w:t>
      </w:r>
    </w:p>
    <w:p>
      <w:pPr>
        <w:pStyle w:val="Heading1"/>
      </w:pPr>
      <w:r>
        <w:t>4. Состав данных заказа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Блок данных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Содержание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Назначение в 1С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Клиент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ФИО / название компании, телефон, email, тип клиента, ИНН и реквизиты при наличии.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Поиск или создание контрагента / клиента.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Заказ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Номер и дата заказа, источник, ответственный менеджер, комментарии, филиал или объект хранения.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Формирование документа заказа клиента.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Бокс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ID бокса, номер, объект, площадь или размер, категория, статус доступности.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Привязка заказа к конкретному объекту аренды.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Период аренды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Дата начала, дата окончания либо срок аренды, периодичность оплаты.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Расчет периода аренды и графика начислений.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Финансы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Тариф, базовая стоимость, скидка, промокод, депозит, итоговая сумма, НДС, способ оплаты.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Формирование суммы заказа и условий оплаты.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Связи и ID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ID контакта, компании, сделки, смарт-процесса, внешний ID заказа, внешний ID клиента, внешний ID бокса.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Повторная синхронизация и предотвращение дублей.</w:t>
            </w:r>
          </w:p>
        </w:tc>
      </w:tr>
    </w:tbl>
    <w:p>
      <w:pPr>
        <w:pStyle w:val="Heading1"/>
      </w:pPr>
      <w:r>
        <w:t>5. Логика обмена по шагам</w:t>
      </w:r>
    </w:p>
    <w:p>
      <w:pPr>
        <w:spacing w:after="40"/>
      </w:pPr>
      <w:r>
        <w:rPr>
          <w:b/>
        </w:rPr>
        <w:t>Шаг 1. Сбор заказа в Битрикс24</w:t>
      </w:r>
      <w:r>
        <w:t xml:space="preserve"> — В CRM уже должны быть зафиксированы клиент, выбранный бокс, сроки аренды и основные условия.</w:t>
      </w:r>
    </w:p>
    <w:p>
      <w:pPr>
        <w:spacing w:after="40"/>
      </w:pPr>
      <w:r>
        <w:rPr>
          <w:b/>
        </w:rPr>
        <w:t>Шаг 2. Формирование пакета обмена</w:t>
      </w:r>
      <w:r>
        <w:t xml:space="preserve"> — Битрикс24 агрегирует данные из контакта, компании, сделки и карточки аренды в единый payload.</w:t>
      </w:r>
    </w:p>
    <w:p>
      <w:pPr>
        <w:spacing w:after="40"/>
      </w:pPr>
      <w:r>
        <w:rPr>
          <w:b/>
        </w:rPr>
        <w:t>Шаг 3. Передача в 1С УНФ</w:t>
      </w:r>
      <w:r>
        <w:t xml:space="preserve"> — Пакет уходит в 1С для создания или обновления учетных сущностей.</w:t>
      </w:r>
    </w:p>
    <w:p>
      <w:pPr>
        <w:spacing w:after="40"/>
      </w:pPr>
      <w:r>
        <w:rPr>
          <w:b/>
        </w:rPr>
        <w:t>Шаг 4. Ответ от 1С</w:t>
      </w:r>
      <w:r>
        <w:t xml:space="preserve"> — 1С возвращает результат обработки: успешно / ошибка, а также внутренние идентификаторы созданных объектов.</w:t>
      </w:r>
    </w:p>
    <w:p>
      <w:pPr>
        <w:spacing w:after="40"/>
      </w:pPr>
      <w:r>
        <w:rPr>
          <w:b/>
        </w:rPr>
        <w:t>Шаг 5. Фиксация связей в CRM</w:t>
      </w:r>
      <w:r>
        <w:t xml:space="preserve"> — Битрикс24 записывает внешние ID 1С и статус синхронизации для дальнейших обновлений.</w:t>
      </w:r>
    </w:p>
    <w:p>
      <w:pPr>
        <w:pStyle w:val="Heading1"/>
      </w:pPr>
      <w:r>
        <w:t>6. Минимально обязательные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Поле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Статус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Комментарий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crm_order_id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Обязательно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Внутренний идентификатор заказа в CRM.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contact_id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Обязательно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Связь с контактом клиента.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box_id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Обязательно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Идентификатор выбранного бокса.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storage_location_id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Обязательно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Объект, площадка или филиал хранения.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rent_start_date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Обязательно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Дата начала аренды.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rent_term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Обязательно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Срок аренды либо период в учетной логике.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tariff_id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Обязательно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Применяемый тариф.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amount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Обязательно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Сумма заказа или первого периода.</w:t>
            </w:r>
          </w:p>
        </w:tc>
      </w:tr>
      <w:tr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customer_phone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Обязательно</w:t>
            </w:r>
          </w:p>
        </w:tc>
        <w:tc>
          <w:tcPr>
            <w:tcW w:type="dxa" w:w="32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Контакт для идентификации и связи.</w:t>
            </w:r>
          </w:p>
        </w:tc>
      </w:tr>
    </w:tbl>
    <w:p>
      <w:pPr>
        <w:pStyle w:val="Heading1"/>
      </w:pPr>
      <w:r>
        <w:t>7. Желательные поля</w:t>
      </w:r>
    </w:p>
    <w:p>
      <w:pPr/>
      <w:r>
        <w:t>Для устойчивой интеграции и последующей автоматизации желательно передавать также:</w:t>
      </w:r>
    </w:p>
    <w:p>
      <w:pPr>
        <w:spacing w:after="40"/>
        <w:ind w:left="340"/>
      </w:pPr>
      <w:r>
        <w:t>• company_id</w:t>
      </w:r>
    </w:p>
    <w:p>
      <w:pPr>
        <w:spacing w:after="40"/>
        <w:ind w:left="340"/>
      </w:pPr>
      <w:r>
        <w:t>• email</w:t>
      </w:r>
    </w:p>
    <w:p>
      <w:pPr>
        <w:spacing w:after="40"/>
        <w:ind w:left="340"/>
      </w:pPr>
      <w:r>
        <w:t>• deposit_amount</w:t>
      </w:r>
    </w:p>
    <w:p>
      <w:pPr>
        <w:spacing w:after="40"/>
        <w:ind w:left="340"/>
      </w:pPr>
      <w:r>
        <w:t>• discount_amount</w:t>
      </w:r>
    </w:p>
    <w:p>
      <w:pPr>
        <w:spacing w:after="40"/>
        <w:ind w:left="340"/>
      </w:pPr>
      <w:r>
        <w:t>• promo_code</w:t>
      </w:r>
    </w:p>
    <w:p>
      <w:pPr>
        <w:spacing w:after="40"/>
        <w:ind w:left="340"/>
      </w:pPr>
      <w:r>
        <w:t>• manager_id</w:t>
      </w:r>
    </w:p>
    <w:p>
      <w:pPr>
        <w:spacing w:after="40"/>
        <w:ind w:left="340"/>
      </w:pPr>
      <w:r>
        <w:t>• comment</w:t>
      </w:r>
    </w:p>
    <w:p>
      <w:pPr>
        <w:spacing w:after="40"/>
        <w:ind w:left="340"/>
      </w:pPr>
      <w:r>
        <w:t>• payment_type</w:t>
      </w:r>
    </w:p>
    <w:p>
      <w:pPr>
        <w:spacing w:after="40"/>
        <w:ind w:left="340"/>
      </w:pPr>
      <w:r>
        <w:t>• external_source</w:t>
      </w:r>
    </w:p>
    <w:p>
      <w:pPr>
        <w:pStyle w:val="Heading1"/>
      </w:pPr>
      <w:r>
        <w:t>8. Что должно возвращаться из 1С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Поле ответа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sz w:val="19"/>
              </w:rPr>
              <w:t>Смысл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success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Признак успешной обработки.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message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Текст результата либо ошибка для диагностики.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external_customer_id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ID клиента / контрагента в 1С.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external_order_id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ID или номер заказа в 1С.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external_contract_id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ID договора, если договор создается в рамках обмена.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sync_status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Текущий статус синхронизации.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created_at / updated_at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sz w:val="19"/>
              </w:rPr>
              <w:t>Временные метки обработки на стороне 1С.</w:t>
            </w:r>
          </w:p>
        </w:tc>
      </w:tr>
    </w:tbl>
    <w:p>
      <w:pPr>
        <w:pStyle w:val="Heading1"/>
      </w:pPr>
      <w:r>
        <w:t>9. Бизнес-правила</w:t>
      </w:r>
    </w:p>
    <w:p>
      <w:pPr>
        <w:spacing w:after="60"/>
        <w:ind w:left="227"/>
      </w:pPr>
      <w:r>
        <w:t>• Нельзя создавать заказ без привязки к конкретному боксу или без однозначного идентификатора объекта аренды.</w:t>
      </w:r>
    </w:p>
    <w:p>
      <w:pPr>
        <w:spacing w:after="60"/>
        <w:ind w:left="227"/>
      </w:pPr>
      <w:r>
        <w:t>• Нужно исключать дубли клиентов и заказов через внешние ID и правила поиска по телефону, email, ИНН и CRM ID.</w:t>
      </w:r>
    </w:p>
    <w:p>
      <w:pPr>
        <w:spacing w:after="60"/>
        <w:ind w:left="227"/>
      </w:pPr>
      <w:r>
        <w:t>• Изменение дат аренды, тарифа или суммы после первоначальной выгрузки должно идти как обновление ранее созданного заказа, а не как новый заказ.</w:t>
      </w:r>
    </w:p>
    <w:p>
      <w:pPr>
        <w:spacing w:after="60"/>
        <w:ind w:left="227"/>
      </w:pPr>
      <w:r>
        <w:t>• Если 1С не приняла заказ, в Битрикс24 должен фиксироваться текст ошибки и статус, позволяющий повторить обмен.</w:t>
      </w:r>
    </w:p>
    <w:p>
      <w:pPr>
        <w:spacing w:after="60"/>
        <w:ind w:left="227"/>
      </w:pPr>
      <w:r>
        <w:t>• Статус успешной выгрузки должен ставиться только после получения подтверждения от 1С.</w:t>
      </w:r>
    </w:p>
    <w:p>
      <w:pPr>
        <w:pStyle w:val="Heading1"/>
      </w:pPr>
      <w:r>
        <w:t>10. Граница верхнего обмена</w:t>
      </w:r>
    </w:p>
    <w:p>
      <w:pPr/>
      <w:r>
        <w:t>Верхний блок схемы, судя по смыслу, описывает запуск жизненного цикла аренды: создание и первичную синхронизацию полноценного заказа.</w:t>
      </w:r>
    </w:p>
    <w:p>
      <w:pPr/>
      <w:r>
        <w:t>Отдельно от него обычно существуют следующие процессы: быстрая аренда, регистрация бокса, оплата, изменение условий, продление, освобождение бокса и закрытие аренды.</w:t>
      </w:r>
    </w:p>
    <w:p>
      <w:pPr>
        <w:pStyle w:val="Heading1"/>
      </w:pPr>
      <w:r>
        <w:t>11. Формулировка для ТЗ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6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sz w:val="21"/>
              </w:rPr>
              <w:t>Полноценный заказ на аренду бокса — это обмен, при котором из Битрикс24 в учетную систему передается не только обращение клиента, а полная бизнес-сущность аренды: клиент, выбранный бокс, период аренды, тариф, стоимость, условия оплаты, а также связи с CRM-объектами. На стороне 1С на основании этих данных создаются или обновляются клиент, заказ, при необходимости договор и связанные учетные записи. В ответ в Битрикс24 возвращаются идентификаторы сущностей 1С и статус обработки для дальнейшей синхронизации.</w:t>
            </w:r>
          </w:p>
        </w:tc>
      </w:tr>
    </w:tbl>
    <w:p/>
    <w:p>
      <w:pPr>
        <w:pStyle w:val="SubtitleCustom"/>
      </w:pPr>
      <w:r>
        <w:t>Документ можно использовать как основу для ТЗ, mapping полей и описания API обмена.</w:t>
      </w:r>
    </w:p>
    <w:p>
      <w:pPr>
        <w:pStyle w:val="Heading1"/>
        <w:spacing w:before="280" w:after="160"/>
      </w:pPr>
      <w:r>
        <w:rPr>
          <w:rFonts w:ascii="Arial" w:hAnsi="Arial" w:eastAsia="Arial"/>
          <w:b/>
          <w:color w:val="1F4E79"/>
          <w:sz w:val="34"/>
        </w:rPr>
        <w:t>12. Уточнение по блоку «Поля для отправки / получения»</w:t>
      </w:r>
    </w:p>
    <w:p>
      <w:pPr>
        <w:spacing w:after="160" w:line="269" w:lineRule="auto"/>
      </w:pPr>
      <w:r>
        <w:rPr>
          <w:rFonts w:ascii="Arial" w:hAnsi="Arial" w:eastAsia="Arial"/>
          <w:i/>
          <w:color w:val="595959"/>
          <w:sz w:val="21"/>
        </w:rPr>
        <w:t>Ниже зафиксирован нормализованный перечень полей по нижнему блоку схемы. Названия приведены в унифицированном виде для ТЗ, mapping-таблиц и API-описания; фактические имена реквизитов в Битрикс24, 1С и HTTP-обмене могут отличаться.</w:t>
      </w:r>
    </w:p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Отправка в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crm_order_id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заказа или карточки аренды в CRM; основной ключ повторной синхронизации.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contact_id / company_id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Связка заказа с контактом и, при наличии, с компанией в Битрикс24.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customer_name, customer_phone, email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Минимальный блок идентификации арендатора и каналов связи.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box_id, storage_location_id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Конкретный бокс и объект хранения, к которому относится аренда.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rent_start_date, rent_end_date / rent_term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Дата начала и срок либо дата окончания аренды.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tariff_id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Тариф, по которому рассчитывается аренда.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amount, deposit_amount, discount_amount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Стоимость аренды, депозит и скидочные корректировки.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promo_code, payment_type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Промокод и способ оплаты, если они участвуют в расчете и маршрутизации заказа.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manager_id, external_source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Ответственный менеджер и источник обращения.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comment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Операционный комментарий менеджера или клиента.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Arial" w:hAnsi="Arial" w:eastAsia="Arial"/>
          <w:b/>
          <w:color w:val="1F4E79"/>
          <w:sz w:val="25"/>
        </w:rPr>
        <w:t>Получение из 1С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Поле / группа</w:t>
            </w:r>
          </w:p>
        </w:tc>
        <w:tc>
          <w:tcPr>
            <w:tcW w:type="dxa" w:w="6350"/>
            <w:shd w:fill="DCE6F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1"/>
              </w:rPr>
              <w:t>Описание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success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Признак успешной обработки пакета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message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Текст результата обработки либо описание ошибки.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external_customer_id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клиента / контрагента, найденного или созданного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external_order_id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или номер заказа клиента в 1С.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external_contract_id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Идентификатор договора, если договор формируется в рамках сценария.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document_number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Номер учетного документа, который можно отображать в CRM.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box_status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Состояние бокса после обработки: резерв, занят, активная аренда и т.п.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sync_status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Служебный статус синхронизации для контроля повторной отправки и журналирования.</w:t>
            </w:r>
          </w:p>
        </w:tc>
      </w:tr>
      <w:t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created_at, updated_at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20"/>
              </w:rPr>
              <w:t>Метки времени обработки на стороне 1С.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basedOn w:val="Normal"/>
    <w:pPr>
      <w:spacing w:after="120"/>
    </w:pPr>
    <w:rPr>
      <w:rFonts w:ascii="Arial" w:hAnsi="Arial" w:eastAsia="Arial"/>
      <w:b/>
      <w:color w:val="1F4E79"/>
      <w:sz w:val="36"/>
    </w:rPr>
  </w:style>
  <w:style w:type="paragraph" w:customStyle="1" w:styleId="SubtitleCustom">
    <w:name w:val="Subtitle Custom"/>
    <w:basedOn w:val="Normal"/>
    <w:pPr>
      <w:spacing w:after="240"/>
    </w:pPr>
    <w:rPr>
      <w:rFonts w:ascii="Arial" w:hAnsi="Arial" w:eastAsia="Arial"/>
      <w:i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