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02/02/2026, 12:45:51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1- Introdução</w:t>
            </w:r>
          </w:p>
        </w:tc>
      </w:tr>
    </w:tbl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-.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02/02/2026.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2- Metodologia de Avaliação</w:t>
            </w:r>
          </w:p>
        </w:tc>
      </w:tr>
    </w:tbl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GRAU DE CRITICIDADE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200" w:after="160"/>
      </w:pPr>
      <w:r>
        <w:t xml:space="preserve">O resultado da avaliação de efetividade resultará na atribuição de um dos conceitos, mostrados a seguir, ao programa de PLD/FTP da Instituição.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CRITÉRIOS DE AVALIAÇÃO DE EFETIVIDADE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3- Qualificação do Avaliador</w:t>
            </w:r>
          </w:p>
        </w:tc>
      </w:tr>
    </w:tbl>
    <w:p>
      <w:pPr>
        <w:spacing w:after="160"/>
      </w:pPr>
      <w:r>
        <w:t xml:space="preserve">-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4- Execução</w:t>
            </w:r>
          </w:p>
        </w:tc>
      </w:tr>
    </w:tbl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80"/>
      </w:pPr>
      <w:r>
        <w:rPr>
          <w:b/>
          <w:bCs/>
        </w:rPr>
        <w:t xml:space="preserve">1. Deficiência: -</w:t>
      </w:r>
    </w:p>
    <w:p>
      <w:r>
        <w:t xml:space="preserve">Criticidade: ALTA</w:t>
      </w:r>
    </w:p>
    <w:p>
      <w:pPr>
        <w:spacing w:after="120"/>
      </w:pP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5- CONCLUSÃO</w:t>
            </w:r>
          </w:p>
        </w:tc>
      </w:tr>
    </w:tbl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</w:tbl>
    <w:p>
      <w:pPr>
        <w:pStyle w:val="Heading2"/>
        <w:spacing w:before="240" w:after="120"/>
      </w:pPr>
      <w:r>
        <w:t xml:space="preserve">Resultado da Avaliação</w:t>
      </w:r>
    </w:p>
    <w:p>
      <w:pPr>
        <w:spacing w:after="80"/>
      </w:pPr>
      <w:r>
        <w:rPr>
          <w:b/>
          <w:bCs/>
        </w:rPr>
        <w:t xml:space="preserve">Resultado: </w:t>
      </w:r>
      <w:r>
        <w:t xml:space="preserve">EFETIVO</w:t>
      </w:r>
    </w:p>
    <w:p>
      <w:pPr>
        <w:spacing w:after="200"/>
      </w:pPr>
      <w:r>
        <w:t xml:space="preserve">O programa de PLD/FTP atingiu a maioria dos resultados esperados, sem a identificação de deficiências de alta criticidade nos procedimentos de monitoramento, seleção, análise e comunicação de operações atípicas (MSAC), nos procedimentos de verificação de sanções CSNU, e nos procedimentos conheça seu cliente (CSC).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6- ANEXO EVIDÊNCIAS</w:t>
            </w:r>
          </w:p>
        </w:tc>
      </w:tr>
    </w:tbl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4"/>
          <w:insideV w:val="single" w:color="E2E8F0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 Avaliado</w:t>
            </w:r>
          </w:p>
        </w:tc>
        <w:tc>
          <w:tcPr>
            <w:tcW w:type="dxa" w:w="616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Arquivos Anexados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4.1 Política (PI)</w:t>
            </w:r>
          </w:p>
        </w:tc>
        <w:tc>
          <w:tcPr>
            <w:tcW w:type="dxa" w:w="6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CA3AF"/>
              </w:rPr>
              <w:t xml:space="preserve">Nenhum arquivo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300"/>
      <w:jc w:val="center"/>
    </w:pPr>
    <w:rPr>
      <w:rFonts w:ascii="Calibri Light" w:cs="Calibri Light" w:eastAsia="Calibri Light" w:hAnsi="Calibri Light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</w:pPr>
    <w:rPr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pPr>
      <w:spacing w:before="200" w:after="80"/>
    </w:pPr>
    <w:rPr>
      <w:b/>
      <w:bCs/>
      <w:color w:val="334155"/>
      <w:sz w:val="22"/>
      <w:szCs w:val="22"/>
    </w:rPr>
  </w:style>
  <w:style w:type="paragraph" w:styleId="Normal">
    <w:name w:val="Normal"/>
    <w:pPr>
      <w:spacing w:line="276" w:after="120"/>
    </w:pPr>
    <w:rPr>
      <w:color w:val="374151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2026-02-02T15:45:51.150Z</dcterms:created>
  <dcterms:modified xsi:type="dcterms:W3CDTF">2026-02-02T15:45:51.150Z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