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B9CB" w14:textId="61BDE420" w:rsidR="0037252C" w:rsidRPr="0037252C" w:rsidRDefault="0037252C" w:rsidP="0037252C">
      <w:r>
        <w:t>T</w:t>
      </w:r>
      <w:r w:rsidRPr="0037252C">
        <w:t xml:space="preserve">ransfer to a </w:t>
      </w:r>
      <w:r>
        <w:t>U</w:t>
      </w:r>
      <w:r w:rsidRPr="0037252C">
        <w:t>niversity from Bow Valley College (BVC) through several pathways,</w:t>
      </w:r>
      <w:r>
        <w:t xml:space="preserve"> like </w:t>
      </w:r>
      <w:r w:rsidRPr="0037252C">
        <w:t>completing a University Transfer program or moving from a diploma program to a university degree. Transfer agreements, managed through the </w:t>
      </w:r>
      <w:hyperlink r:id="rId7" w:tgtFrame="_blank" w:history="1">
        <w:r w:rsidRPr="0037252C">
          <w:rPr>
            <w:rStyle w:val="Hyperlink"/>
          </w:rPr>
          <w:t>Alberta Council on Admissions and Transfer (ACAT)</w:t>
        </w:r>
      </w:hyperlink>
      <w:r w:rsidRPr="0037252C">
        <w:t>, make it possible to have your credits accepted by other institutions. </w:t>
      </w:r>
    </w:p>
    <w:p w14:paraId="1FE98274" w14:textId="77777777" w:rsidR="0037252C" w:rsidRPr="0037252C" w:rsidRDefault="0037252C" w:rsidP="0037252C">
      <w:pPr>
        <w:rPr>
          <w:b/>
          <w:bCs/>
        </w:rPr>
      </w:pPr>
      <w:r w:rsidRPr="0037252C">
        <w:rPr>
          <w:b/>
          <w:bCs/>
        </w:rPr>
        <w:t>General transfer process</w:t>
      </w:r>
    </w:p>
    <w:p w14:paraId="5C3E7095" w14:textId="77777777" w:rsidR="0037252C" w:rsidRPr="0037252C" w:rsidRDefault="0037252C" w:rsidP="0037252C">
      <w:pPr>
        <w:numPr>
          <w:ilvl w:val="0"/>
          <w:numId w:val="1"/>
        </w:numPr>
      </w:pPr>
      <w:r w:rsidRPr="0037252C">
        <w:rPr>
          <w:b/>
          <w:bCs/>
        </w:rPr>
        <w:t>Meet eligibility requirements</w:t>
      </w:r>
      <w:r w:rsidRPr="0037252C">
        <w:t>. Your acceptance and the number of credits you can transfer will depend on the policies of the university you plan to attend. In general, you must:</w:t>
      </w:r>
    </w:p>
    <w:p w14:paraId="181F5BFD" w14:textId="77777777" w:rsidR="0037252C" w:rsidRDefault="0037252C" w:rsidP="0037252C">
      <w:pPr>
        <w:pStyle w:val="ListParagraph"/>
        <w:numPr>
          <w:ilvl w:val="2"/>
          <w:numId w:val="1"/>
        </w:numPr>
      </w:pPr>
      <w:r w:rsidRPr="0037252C">
        <w:t>Have a minimum grade point average (GPA), often 2.0 or higher.</w:t>
      </w:r>
    </w:p>
    <w:p w14:paraId="38BE5F5E" w14:textId="77777777" w:rsidR="0037252C" w:rsidRDefault="0037252C" w:rsidP="0037252C">
      <w:pPr>
        <w:pStyle w:val="ListParagraph"/>
        <w:numPr>
          <w:ilvl w:val="2"/>
          <w:numId w:val="1"/>
        </w:numPr>
      </w:pPr>
      <w:r w:rsidRPr="0037252C">
        <w:t>Be in good academic standing at </w:t>
      </w:r>
      <w:r>
        <w:t xml:space="preserve"> </w:t>
      </w:r>
      <w:r w:rsidRPr="0037252C">
        <w:t>BVC</w:t>
      </w:r>
    </w:p>
    <w:p w14:paraId="30AAB11D" w14:textId="2763BFB6" w:rsidR="0037252C" w:rsidRPr="0037252C" w:rsidRDefault="0037252C" w:rsidP="0037252C">
      <w:pPr>
        <w:pStyle w:val="ListParagraph"/>
        <w:numPr>
          <w:ilvl w:val="2"/>
          <w:numId w:val="1"/>
        </w:numPr>
      </w:pPr>
      <w:r w:rsidRPr="0037252C">
        <w:t>Meet admission requirements for your desired program at the receiving university.</w:t>
      </w:r>
    </w:p>
    <w:p w14:paraId="1F5972CA" w14:textId="77777777" w:rsidR="0037252C" w:rsidRPr="0037252C" w:rsidRDefault="0037252C" w:rsidP="0037252C">
      <w:pPr>
        <w:numPr>
          <w:ilvl w:val="0"/>
          <w:numId w:val="1"/>
        </w:numPr>
      </w:pPr>
      <w:r w:rsidRPr="0037252C">
        <w:rPr>
          <w:b/>
          <w:bCs/>
        </w:rPr>
        <w:t>Explore transfer pathways</w:t>
      </w:r>
      <w:r w:rsidRPr="0037252C">
        <w:t>. Determine the best path for your educational goals.</w:t>
      </w:r>
    </w:p>
    <w:p w14:paraId="45956D46" w14:textId="77777777" w:rsidR="0037252C" w:rsidRPr="0037252C" w:rsidRDefault="0037252C" w:rsidP="0037252C">
      <w:pPr>
        <w:ind w:firstLine="360"/>
      </w:pPr>
      <w:r w:rsidRPr="0037252C">
        <w:rPr>
          <w:b/>
          <w:bCs/>
        </w:rPr>
        <w:t>University Transfer program</w:t>
      </w:r>
      <w:r w:rsidRPr="0037252C">
        <w:t>: </w:t>
      </w:r>
    </w:p>
    <w:p w14:paraId="6A1E03DC" w14:textId="77777777" w:rsidR="0037252C" w:rsidRDefault="0037252C" w:rsidP="0037252C">
      <w:pPr>
        <w:pStyle w:val="ListParagraph"/>
        <w:numPr>
          <w:ilvl w:val="0"/>
          <w:numId w:val="8"/>
        </w:numPr>
      </w:pPr>
      <w:r w:rsidRPr="0037252C">
        <w:t>BVC</w:t>
      </w:r>
      <w:r>
        <w:t xml:space="preserve"> </w:t>
      </w:r>
      <w:r w:rsidRPr="0037252C">
        <w:t>offers specific University Transfer courses in arts and sciences that are designed to transfer to degree programs at institutions like the University of Calgary, Mount Royal University, and MacEwan University. You can complete up to two years of a degree at BVC this way.</w:t>
      </w:r>
    </w:p>
    <w:p w14:paraId="2148B17C" w14:textId="77777777" w:rsidR="0037252C" w:rsidRDefault="0037252C" w:rsidP="0037252C">
      <w:pPr>
        <w:ind w:left="360"/>
      </w:pPr>
      <w:r w:rsidRPr="0037252C">
        <w:rPr>
          <w:b/>
          <w:bCs/>
        </w:rPr>
        <w:t>Block transfer agreements</w:t>
      </w:r>
      <w:r w:rsidRPr="0037252C">
        <w:t xml:space="preserve">: </w:t>
      </w:r>
    </w:p>
    <w:p w14:paraId="5A505ED2" w14:textId="3547B971" w:rsidR="0037252C" w:rsidRPr="0037252C" w:rsidRDefault="0037252C" w:rsidP="0037252C">
      <w:pPr>
        <w:pStyle w:val="ListParagraph"/>
        <w:numPr>
          <w:ilvl w:val="0"/>
          <w:numId w:val="8"/>
        </w:numPr>
      </w:pPr>
      <w:r w:rsidRPr="0037252C">
        <w:t>If you complete a specific BVC diploma program, you may be able to transfer a block of credits toward a particular degree at a partner university. For example, BVC's Early Childhood Education and Development diploma has a block transfer agreement with St. Mary's University.</w:t>
      </w:r>
    </w:p>
    <w:p w14:paraId="585284F1" w14:textId="77777777" w:rsidR="0037252C" w:rsidRPr="0037252C" w:rsidRDefault="0037252C" w:rsidP="0037252C">
      <w:pPr>
        <w:numPr>
          <w:ilvl w:val="0"/>
          <w:numId w:val="1"/>
        </w:numPr>
      </w:pPr>
      <w:r w:rsidRPr="0037252C">
        <w:rPr>
          <w:b/>
          <w:bCs/>
        </w:rPr>
        <w:t>Check </w:t>
      </w:r>
      <w:hyperlink r:id="rId8" w:tgtFrame="_blank" w:history="1">
        <w:r w:rsidRPr="0037252C">
          <w:rPr>
            <w:rStyle w:val="Hyperlink"/>
          </w:rPr>
          <w:t>Transfer Alberta</w:t>
        </w:r>
      </w:hyperlink>
      <w:r w:rsidRPr="0037252C">
        <w:rPr>
          <w:b/>
          <w:bCs/>
        </w:rPr>
        <w:t> for specific agreements</w:t>
      </w:r>
      <w:r w:rsidRPr="0037252C">
        <w:t>. Use the Transfer Alberta Search tool to see how specific BVC courses or entire programs transfer to other post-secondary institutions in the province. This tool provides the most up-to-date and reliable transfer information.</w:t>
      </w:r>
    </w:p>
    <w:p w14:paraId="40CFEEEB" w14:textId="0D20C9EA" w:rsidR="0037252C" w:rsidRPr="0037252C" w:rsidRDefault="0037252C" w:rsidP="0037252C">
      <w:pPr>
        <w:numPr>
          <w:ilvl w:val="0"/>
          <w:numId w:val="1"/>
        </w:numPr>
      </w:pPr>
      <w:r w:rsidRPr="0037252C">
        <w:rPr>
          <w:b/>
          <w:bCs/>
        </w:rPr>
        <w:t>Work with an advisor</w:t>
      </w:r>
      <w:r w:rsidRPr="0037252C">
        <w:t>. Contact an academic advisor at both</w:t>
      </w:r>
      <w:r>
        <w:t xml:space="preserve"> </w:t>
      </w:r>
      <w:r w:rsidRPr="0037252C">
        <w:t>Bow Valley College</w:t>
      </w:r>
      <w:r>
        <w:t xml:space="preserve"> </w:t>
      </w:r>
      <w:r w:rsidRPr="0037252C">
        <w:t>and the university you wish to attend. They can help you plan your courses to maximize your transferable credits and ensure you meet all admissions criteria.</w:t>
      </w:r>
    </w:p>
    <w:p w14:paraId="27C357C6" w14:textId="154027D7" w:rsidR="0037252C" w:rsidRPr="0037252C" w:rsidRDefault="0037252C" w:rsidP="0037252C">
      <w:pPr>
        <w:numPr>
          <w:ilvl w:val="0"/>
          <w:numId w:val="1"/>
        </w:numPr>
      </w:pPr>
      <w:r w:rsidRPr="0037252C">
        <w:rPr>
          <w:b/>
          <w:bCs/>
        </w:rPr>
        <w:t>Apply to the university</w:t>
      </w:r>
      <w:r w:rsidRPr="0037252C">
        <w:t xml:space="preserve">. Apply to your chosen university as a post-secondary transfer student and submit all required documents, including your official </w:t>
      </w:r>
      <w:r w:rsidRPr="0037252C">
        <w:lastRenderedPageBreak/>
        <w:t>transcripts from Bow Valley College. It is recommended that you apply early, especially for competitive programs. </w:t>
      </w:r>
    </w:p>
    <w:p w14:paraId="0C0B092B" w14:textId="77777777" w:rsidR="0037252C" w:rsidRPr="0037252C" w:rsidRDefault="0037252C" w:rsidP="0037252C">
      <w:pPr>
        <w:rPr>
          <w:b/>
          <w:bCs/>
        </w:rPr>
      </w:pPr>
      <w:r w:rsidRPr="0037252C">
        <w:rPr>
          <w:b/>
          <w:bCs/>
        </w:rPr>
        <w:t>Important considerations</w:t>
      </w:r>
    </w:p>
    <w:p w14:paraId="1E6B7FFA" w14:textId="77777777" w:rsidR="0037252C" w:rsidRPr="0037252C" w:rsidRDefault="0037252C" w:rsidP="0037252C">
      <w:pPr>
        <w:numPr>
          <w:ilvl w:val="0"/>
          <w:numId w:val="7"/>
        </w:numPr>
      </w:pPr>
      <w:r w:rsidRPr="0037252C">
        <w:rPr>
          <w:b/>
          <w:bCs/>
        </w:rPr>
        <w:t>Credit limits</w:t>
      </w:r>
      <w:r w:rsidRPr="0037252C">
        <w:t>: Most universities have residency requirements, meaning you must complete a certain number of credits directly at their institution to graduate. This may limit the total number of credits you can transfer.</w:t>
      </w:r>
    </w:p>
    <w:p w14:paraId="1D196CFE" w14:textId="77777777" w:rsidR="0037252C" w:rsidRPr="0037252C" w:rsidRDefault="0037252C" w:rsidP="0037252C">
      <w:pPr>
        <w:numPr>
          <w:ilvl w:val="0"/>
          <w:numId w:val="7"/>
        </w:numPr>
      </w:pPr>
      <w:r w:rsidRPr="0037252C">
        <w:rPr>
          <w:b/>
          <w:bCs/>
        </w:rPr>
        <w:t>Time limitations</w:t>
      </w:r>
      <w:r w:rsidRPr="0037252C">
        <w:t>: Some universities have time limits on how long ago your credits could have been completed to be eligible for transfer.</w:t>
      </w:r>
    </w:p>
    <w:p w14:paraId="38169B09" w14:textId="5302F1C8" w:rsidR="00955614" w:rsidRDefault="0037252C" w:rsidP="0037252C">
      <w:pPr>
        <w:numPr>
          <w:ilvl w:val="0"/>
          <w:numId w:val="7"/>
        </w:numPr>
      </w:pPr>
      <w:r w:rsidRPr="0037252C">
        <w:rPr>
          <w:b/>
          <w:bCs/>
        </w:rPr>
        <w:t>Competitive admission</w:t>
      </w:r>
      <w:r w:rsidRPr="0037252C">
        <w:t>: Even with a clear transfer pathway, admission to a university is not guaranteed and is often based on your GPA and program availability.</w:t>
      </w:r>
    </w:p>
    <w:sectPr w:rsidR="00955614">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CC377" w14:textId="77777777" w:rsidR="0037252C" w:rsidRDefault="0037252C" w:rsidP="0037252C">
      <w:pPr>
        <w:spacing w:after="0" w:line="240" w:lineRule="auto"/>
      </w:pPr>
      <w:r>
        <w:separator/>
      </w:r>
    </w:p>
  </w:endnote>
  <w:endnote w:type="continuationSeparator" w:id="0">
    <w:p w14:paraId="76DAB96F" w14:textId="77777777" w:rsidR="0037252C" w:rsidRDefault="0037252C" w:rsidP="00372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E868" w14:textId="752BE195" w:rsidR="0037252C" w:rsidRDefault="0037252C">
    <w:pPr>
      <w:pStyle w:val="Footer"/>
    </w:pPr>
    <w:r>
      <w:rPr>
        <w:noProof/>
      </w:rPr>
      <mc:AlternateContent>
        <mc:Choice Requires="wps">
          <w:drawing>
            <wp:anchor distT="0" distB="0" distL="0" distR="0" simplePos="0" relativeHeight="251659264" behindDoc="0" locked="0" layoutInCell="1" allowOverlap="1" wp14:anchorId="2F79FA1B" wp14:editId="5B948429">
              <wp:simplePos x="635" y="635"/>
              <wp:positionH relativeFrom="page">
                <wp:align>left</wp:align>
              </wp:positionH>
              <wp:positionV relativeFrom="page">
                <wp:align>bottom</wp:align>
              </wp:positionV>
              <wp:extent cx="1502410" cy="370205"/>
              <wp:effectExtent l="0" t="0" r="2540" b="0"/>
              <wp:wrapNone/>
              <wp:docPr id="415720449" name="Text Box 2" descr="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2410" cy="370205"/>
                      </a:xfrm>
                      <a:prstGeom prst="rect">
                        <a:avLst/>
                      </a:prstGeom>
                      <a:noFill/>
                      <a:ln>
                        <a:noFill/>
                      </a:ln>
                    </wps:spPr>
                    <wps:txbx>
                      <w:txbxContent>
                        <w:p w14:paraId="5606454B" w14:textId="499D2BE8" w:rsidR="0037252C" w:rsidRPr="0037252C" w:rsidRDefault="0037252C" w:rsidP="0037252C">
                          <w:pPr>
                            <w:spacing w:after="0"/>
                            <w:rPr>
                              <w:rFonts w:ascii="Aptos" w:eastAsia="Aptos" w:hAnsi="Aptos" w:cs="Aptos"/>
                              <w:noProof/>
                              <w:color w:val="000000"/>
                              <w:sz w:val="20"/>
                              <w:szCs w:val="20"/>
                            </w:rPr>
                          </w:pPr>
                          <w:r w:rsidRPr="0037252C">
                            <w:rPr>
                              <w:rFonts w:ascii="Aptos" w:eastAsia="Aptos" w:hAnsi="Aptos" w:cs="Aptos"/>
                              <w:noProof/>
                              <w:color w:val="000000"/>
                              <w:sz w:val="20"/>
                              <w:szCs w:val="20"/>
                            </w:rPr>
                            <w:t>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79FA1B" id="_x0000_t202" coordsize="21600,21600" o:spt="202" path="m,l,21600r21600,l21600,xe">
              <v:stroke joinstyle="miter"/>
              <v:path gradientshapeok="t" o:connecttype="rect"/>
            </v:shapetype>
            <v:shape id="Text Box 2" o:spid="_x0000_s1026" type="#_x0000_t202" alt="Classification: General" style="position:absolute;margin-left:0;margin-top:0;width:118.3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" filled="f" stroked="f">
              <v:fill o:detectmouseclick="t"/>
              <v:textbox style="mso-fit-shape-to-text:t" inset="20pt,0,0,15pt">
                <w:txbxContent>
                  <w:p w14:paraId="5606454B" w14:textId="499D2BE8" w:rsidR="0037252C" w:rsidRPr="0037252C" w:rsidRDefault="0037252C" w:rsidP="0037252C">
                    <w:pPr>
                      <w:spacing w:after="0"/>
                      <w:rPr>
                        <w:rFonts w:ascii="Aptos" w:eastAsia="Aptos" w:hAnsi="Aptos" w:cs="Aptos"/>
                        <w:noProof/>
                        <w:color w:val="000000"/>
                        <w:sz w:val="20"/>
                        <w:szCs w:val="20"/>
                      </w:rPr>
                    </w:pPr>
                    <w:r w:rsidRPr="0037252C">
                      <w:rPr>
                        <w:rFonts w:ascii="Aptos" w:eastAsia="Aptos" w:hAnsi="Aptos" w:cs="Aptos"/>
                        <w:noProof/>
                        <w:color w:val="000000"/>
                        <w:sz w:val="20"/>
                        <w:szCs w:val="20"/>
                      </w:rPr>
                      <w:t>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EFBF" w14:textId="4E7C2951" w:rsidR="0037252C" w:rsidRDefault="0037252C">
    <w:pPr>
      <w:pStyle w:val="Footer"/>
    </w:pPr>
    <w:r>
      <w:rPr>
        <w:noProof/>
      </w:rPr>
      <mc:AlternateContent>
        <mc:Choice Requires="wps">
          <w:drawing>
            <wp:anchor distT="0" distB="0" distL="0" distR="0" simplePos="0" relativeHeight="251660288" behindDoc="0" locked="0" layoutInCell="1" allowOverlap="1" wp14:anchorId="0C49F6A6" wp14:editId="72A519B5">
              <wp:simplePos x="914400" y="9416143"/>
              <wp:positionH relativeFrom="page">
                <wp:align>left</wp:align>
              </wp:positionH>
              <wp:positionV relativeFrom="page">
                <wp:align>bottom</wp:align>
              </wp:positionV>
              <wp:extent cx="1502410" cy="370205"/>
              <wp:effectExtent l="0" t="0" r="2540" b="0"/>
              <wp:wrapNone/>
              <wp:docPr id="1407962087" name="Text Box 3" descr="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2410" cy="370205"/>
                      </a:xfrm>
                      <a:prstGeom prst="rect">
                        <a:avLst/>
                      </a:prstGeom>
                      <a:noFill/>
                      <a:ln>
                        <a:noFill/>
                      </a:ln>
                    </wps:spPr>
                    <wps:txbx>
                      <w:txbxContent>
                        <w:p w14:paraId="7B84FE14" w14:textId="38143895" w:rsidR="0037252C" w:rsidRPr="0037252C" w:rsidRDefault="0037252C" w:rsidP="0037252C">
                          <w:pPr>
                            <w:spacing w:after="0"/>
                            <w:rPr>
                              <w:rFonts w:ascii="Aptos" w:eastAsia="Aptos" w:hAnsi="Aptos" w:cs="Aptos"/>
                              <w:noProof/>
                              <w:color w:val="000000"/>
                              <w:sz w:val="20"/>
                              <w:szCs w:val="20"/>
                            </w:rPr>
                          </w:pPr>
                          <w:r w:rsidRPr="0037252C">
                            <w:rPr>
                              <w:rFonts w:ascii="Aptos" w:eastAsia="Aptos" w:hAnsi="Aptos" w:cs="Aptos"/>
                              <w:noProof/>
                              <w:color w:val="000000"/>
                              <w:sz w:val="20"/>
                              <w:szCs w:val="20"/>
                            </w:rPr>
                            <w:t>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49F6A6" id="_x0000_t202" coordsize="21600,21600" o:spt="202" path="m,l,21600r21600,l21600,xe">
              <v:stroke joinstyle="miter"/>
              <v:path gradientshapeok="t" o:connecttype="rect"/>
            </v:shapetype>
            <v:shape id="Text Box 3" o:spid="_x0000_s1027" type="#_x0000_t202" alt="Classification: General" style="position:absolute;margin-left:0;margin-top:0;width:118.3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" filled="f" stroked="f">
              <v:fill o:detectmouseclick="t"/>
              <v:textbox style="mso-fit-shape-to-text:t" inset="20pt,0,0,15pt">
                <w:txbxContent>
                  <w:p w14:paraId="7B84FE14" w14:textId="38143895" w:rsidR="0037252C" w:rsidRPr="0037252C" w:rsidRDefault="0037252C" w:rsidP="0037252C">
                    <w:pPr>
                      <w:spacing w:after="0"/>
                      <w:rPr>
                        <w:rFonts w:ascii="Aptos" w:eastAsia="Aptos" w:hAnsi="Aptos" w:cs="Aptos"/>
                        <w:noProof/>
                        <w:color w:val="000000"/>
                        <w:sz w:val="20"/>
                        <w:szCs w:val="20"/>
                      </w:rPr>
                    </w:pPr>
                    <w:r w:rsidRPr="0037252C">
                      <w:rPr>
                        <w:rFonts w:ascii="Aptos" w:eastAsia="Aptos" w:hAnsi="Aptos" w:cs="Aptos"/>
                        <w:noProof/>
                        <w:color w:val="000000"/>
                        <w:sz w:val="20"/>
                        <w:szCs w:val="20"/>
                      </w:rPr>
                      <w:t>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29273" w14:textId="0A4A76DA" w:rsidR="0037252C" w:rsidRDefault="0037252C">
    <w:pPr>
      <w:pStyle w:val="Footer"/>
    </w:pPr>
    <w:r>
      <w:rPr>
        <w:noProof/>
      </w:rPr>
      <mc:AlternateContent>
        <mc:Choice Requires="wps">
          <w:drawing>
            <wp:anchor distT="0" distB="0" distL="0" distR="0" simplePos="0" relativeHeight="251658240" behindDoc="0" locked="0" layoutInCell="1" allowOverlap="1" wp14:anchorId="65BE41EA" wp14:editId="22942B70">
              <wp:simplePos x="635" y="635"/>
              <wp:positionH relativeFrom="page">
                <wp:align>left</wp:align>
              </wp:positionH>
              <wp:positionV relativeFrom="page">
                <wp:align>bottom</wp:align>
              </wp:positionV>
              <wp:extent cx="1502410" cy="370205"/>
              <wp:effectExtent l="0" t="0" r="2540" b="0"/>
              <wp:wrapNone/>
              <wp:docPr id="1548024808" name="Text Box 1" descr="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2410" cy="370205"/>
                      </a:xfrm>
                      <a:prstGeom prst="rect">
                        <a:avLst/>
                      </a:prstGeom>
                      <a:noFill/>
                      <a:ln>
                        <a:noFill/>
                      </a:ln>
                    </wps:spPr>
                    <wps:txbx>
                      <w:txbxContent>
                        <w:p w14:paraId="6AECB927" w14:textId="1687EF1A" w:rsidR="0037252C" w:rsidRPr="0037252C" w:rsidRDefault="0037252C" w:rsidP="0037252C">
                          <w:pPr>
                            <w:spacing w:after="0"/>
                            <w:rPr>
                              <w:rFonts w:ascii="Aptos" w:eastAsia="Aptos" w:hAnsi="Aptos" w:cs="Aptos"/>
                              <w:noProof/>
                              <w:color w:val="000000"/>
                              <w:sz w:val="20"/>
                              <w:szCs w:val="20"/>
                            </w:rPr>
                          </w:pPr>
                          <w:r w:rsidRPr="0037252C">
                            <w:rPr>
                              <w:rFonts w:ascii="Aptos" w:eastAsia="Aptos" w:hAnsi="Aptos" w:cs="Aptos"/>
                              <w:noProof/>
                              <w:color w:val="000000"/>
                              <w:sz w:val="20"/>
                              <w:szCs w:val="20"/>
                            </w:rPr>
                            <w:t>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BE41EA" id="_x0000_t202" coordsize="21600,21600" o:spt="202" path="m,l,21600r21600,l21600,xe">
              <v:stroke joinstyle="miter"/>
              <v:path gradientshapeok="t" o:connecttype="rect"/>
            </v:shapetype>
            <v:shape id="Text Box 1" o:spid="_x0000_s1028" type="#_x0000_t202" alt="Classification: General" style="position:absolute;margin-left:0;margin-top:0;width:118.3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" filled="f" stroked="f">
              <v:fill o:detectmouseclick="t"/>
              <v:textbox style="mso-fit-shape-to-text:t" inset="20pt,0,0,15pt">
                <w:txbxContent>
                  <w:p w14:paraId="6AECB927" w14:textId="1687EF1A" w:rsidR="0037252C" w:rsidRPr="0037252C" w:rsidRDefault="0037252C" w:rsidP="0037252C">
                    <w:pPr>
                      <w:spacing w:after="0"/>
                      <w:rPr>
                        <w:rFonts w:ascii="Aptos" w:eastAsia="Aptos" w:hAnsi="Aptos" w:cs="Aptos"/>
                        <w:noProof/>
                        <w:color w:val="000000"/>
                        <w:sz w:val="20"/>
                        <w:szCs w:val="20"/>
                      </w:rPr>
                    </w:pPr>
                    <w:r w:rsidRPr="0037252C">
                      <w:rPr>
                        <w:rFonts w:ascii="Aptos" w:eastAsia="Aptos" w:hAnsi="Aptos" w:cs="Aptos"/>
                        <w:noProof/>
                        <w:color w:val="000000"/>
                        <w:sz w:val="20"/>
                        <w:szCs w:val="20"/>
                      </w:rPr>
                      <w:t>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EB9DB" w14:textId="77777777" w:rsidR="0037252C" w:rsidRDefault="0037252C" w:rsidP="0037252C">
      <w:pPr>
        <w:spacing w:after="0" w:line="240" w:lineRule="auto"/>
      </w:pPr>
      <w:r>
        <w:separator/>
      </w:r>
    </w:p>
  </w:footnote>
  <w:footnote w:type="continuationSeparator" w:id="0">
    <w:p w14:paraId="0F808E68" w14:textId="77777777" w:rsidR="0037252C" w:rsidRDefault="0037252C" w:rsidP="00372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C49"/>
    <w:multiLevelType w:val="multilevel"/>
    <w:tmpl w:val="139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812D3"/>
    <w:multiLevelType w:val="hybridMultilevel"/>
    <w:tmpl w:val="971C82FC"/>
    <w:lvl w:ilvl="0" w:tplc="66180E3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A2C26"/>
    <w:multiLevelType w:val="multilevel"/>
    <w:tmpl w:val="5DF4C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959671">
    <w:abstractNumId w:val="2"/>
  </w:num>
  <w:num w:numId="2" w16cid:durableId="306127845">
    <w:abstractNumId w:val="2"/>
    <w:lvlOverride w:ilvl="1">
      <w:lvl w:ilvl="1">
        <w:numFmt w:val="decimal"/>
        <w:lvlText w:val="%2."/>
        <w:lvlJc w:val="left"/>
      </w:lvl>
    </w:lvlOverride>
  </w:num>
  <w:num w:numId="3" w16cid:durableId="871499752">
    <w:abstractNumId w:val="2"/>
    <w:lvlOverride w:ilvl="1">
      <w:lvl w:ilvl="1">
        <w:numFmt w:val="decimal"/>
        <w:lvlText w:val="%2."/>
        <w:lvlJc w:val="left"/>
      </w:lvl>
    </w:lvlOverride>
  </w:num>
  <w:num w:numId="4" w16cid:durableId="828181669">
    <w:abstractNumId w:val="2"/>
    <w:lvlOverride w:ilvl="1">
      <w:lvl w:ilvl="1">
        <w:numFmt w:val="decimal"/>
        <w:lvlText w:val="%2."/>
        <w:lvlJc w:val="left"/>
      </w:lvl>
    </w:lvlOverride>
  </w:num>
  <w:num w:numId="5" w16cid:durableId="1983384365">
    <w:abstractNumId w:val="2"/>
    <w:lvlOverride w:ilvl="1">
      <w:lvl w:ilvl="1">
        <w:numFmt w:val="decimal"/>
        <w:lvlText w:val="%2."/>
        <w:lvlJc w:val="left"/>
      </w:lvl>
    </w:lvlOverride>
  </w:num>
  <w:num w:numId="6" w16cid:durableId="250696854">
    <w:abstractNumId w:val="2"/>
    <w:lvlOverride w:ilvl="1">
      <w:lvl w:ilvl="1">
        <w:numFmt w:val="decimal"/>
        <w:lvlText w:val="%2."/>
        <w:lvlJc w:val="left"/>
      </w:lvl>
    </w:lvlOverride>
  </w:num>
  <w:num w:numId="7" w16cid:durableId="1120031603">
    <w:abstractNumId w:val="0"/>
  </w:num>
  <w:num w:numId="8" w16cid:durableId="254173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2C"/>
    <w:rsid w:val="0037252C"/>
    <w:rsid w:val="00544D4E"/>
    <w:rsid w:val="007613ED"/>
    <w:rsid w:val="008E4252"/>
    <w:rsid w:val="00955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E7CA"/>
  <w15:chartTrackingRefBased/>
  <w15:docId w15:val="{4EB7DA00-9939-4D18-8A73-95959F5C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52C"/>
    <w:rPr>
      <w:rFonts w:eastAsiaTheme="majorEastAsia" w:cstheme="majorBidi"/>
      <w:color w:val="272727" w:themeColor="text1" w:themeTint="D8"/>
    </w:rPr>
  </w:style>
  <w:style w:type="paragraph" w:styleId="Title">
    <w:name w:val="Title"/>
    <w:basedOn w:val="Normal"/>
    <w:next w:val="Normal"/>
    <w:link w:val="TitleChar"/>
    <w:uiPriority w:val="10"/>
    <w:qFormat/>
    <w:rsid w:val="00372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52C"/>
    <w:pPr>
      <w:spacing w:before="160"/>
      <w:jc w:val="center"/>
    </w:pPr>
    <w:rPr>
      <w:i/>
      <w:iCs/>
      <w:color w:val="404040" w:themeColor="text1" w:themeTint="BF"/>
    </w:rPr>
  </w:style>
  <w:style w:type="character" w:customStyle="1" w:styleId="QuoteChar">
    <w:name w:val="Quote Char"/>
    <w:basedOn w:val="DefaultParagraphFont"/>
    <w:link w:val="Quote"/>
    <w:uiPriority w:val="29"/>
    <w:rsid w:val="0037252C"/>
    <w:rPr>
      <w:i/>
      <w:iCs/>
      <w:color w:val="404040" w:themeColor="text1" w:themeTint="BF"/>
    </w:rPr>
  </w:style>
  <w:style w:type="paragraph" w:styleId="ListParagraph">
    <w:name w:val="List Paragraph"/>
    <w:basedOn w:val="Normal"/>
    <w:uiPriority w:val="34"/>
    <w:qFormat/>
    <w:rsid w:val="0037252C"/>
    <w:pPr>
      <w:ind w:left="720"/>
      <w:contextualSpacing/>
    </w:pPr>
  </w:style>
  <w:style w:type="character" w:styleId="IntenseEmphasis">
    <w:name w:val="Intense Emphasis"/>
    <w:basedOn w:val="DefaultParagraphFont"/>
    <w:uiPriority w:val="21"/>
    <w:qFormat/>
    <w:rsid w:val="0037252C"/>
    <w:rPr>
      <w:i/>
      <w:iCs/>
      <w:color w:val="0F4761" w:themeColor="accent1" w:themeShade="BF"/>
    </w:rPr>
  </w:style>
  <w:style w:type="paragraph" w:styleId="IntenseQuote">
    <w:name w:val="Intense Quote"/>
    <w:basedOn w:val="Normal"/>
    <w:next w:val="Normal"/>
    <w:link w:val="IntenseQuoteChar"/>
    <w:uiPriority w:val="30"/>
    <w:qFormat/>
    <w:rsid w:val="00372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52C"/>
    <w:rPr>
      <w:i/>
      <w:iCs/>
      <w:color w:val="0F4761" w:themeColor="accent1" w:themeShade="BF"/>
    </w:rPr>
  </w:style>
  <w:style w:type="character" w:styleId="IntenseReference">
    <w:name w:val="Intense Reference"/>
    <w:basedOn w:val="DefaultParagraphFont"/>
    <w:uiPriority w:val="32"/>
    <w:qFormat/>
    <w:rsid w:val="0037252C"/>
    <w:rPr>
      <w:b/>
      <w:bCs/>
      <w:smallCaps/>
      <w:color w:val="0F4761" w:themeColor="accent1" w:themeShade="BF"/>
      <w:spacing w:val="5"/>
    </w:rPr>
  </w:style>
  <w:style w:type="character" w:styleId="Hyperlink">
    <w:name w:val="Hyperlink"/>
    <w:basedOn w:val="DefaultParagraphFont"/>
    <w:uiPriority w:val="99"/>
    <w:unhideWhenUsed/>
    <w:rsid w:val="0037252C"/>
    <w:rPr>
      <w:color w:val="467886" w:themeColor="hyperlink"/>
      <w:u w:val="single"/>
    </w:rPr>
  </w:style>
  <w:style w:type="character" w:styleId="UnresolvedMention">
    <w:name w:val="Unresolved Mention"/>
    <w:basedOn w:val="DefaultParagraphFont"/>
    <w:uiPriority w:val="99"/>
    <w:semiHidden/>
    <w:unhideWhenUsed/>
    <w:rsid w:val="0037252C"/>
    <w:rPr>
      <w:color w:val="605E5C"/>
      <w:shd w:val="clear" w:color="auto" w:fill="E1DFDD"/>
    </w:rPr>
  </w:style>
  <w:style w:type="paragraph" w:styleId="Footer">
    <w:name w:val="footer"/>
    <w:basedOn w:val="Normal"/>
    <w:link w:val="FooterChar"/>
    <w:uiPriority w:val="99"/>
    <w:unhideWhenUsed/>
    <w:rsid w:val="00372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feralberta.alberta.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cat.alberta.ca/about/action-plan-minutes/action-plan/"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9058512F766E458E894DD16AF50145" ma:contentTypeVersion="21" ma:contentTypeDescription="Create a new document." ma:contentTypeScope="" ma:versionID="5fbde85facc36f1c57dcb2c2b0585449">
  <xsd:schema xmlns:xsd="http://www.w3.org/2001/XMLSchema" xmlns:xs="http://www.w3.org/2001/XMLSchema" xmlns:p="http://schemas.microsoft.com/office/2006/metadata/properties" xmlns:ns1="http://schemas.microsoft.com/sharepoint/v3" xmlns:ns2="d8ef97fa-94c9-411f-9b06-dfefe4e2704f" xmlns:ns3="648c5734-f1d6-40de-a20e-b8e8e183b36e" xmlns:ns4="98c979c8-5cc6-4a9b-a294-0cca0250ec09" targetNamespace="http://schemas.microsoft.com/office/2006/metadata/properties" ma:root="true" ma:fieldsID="b21d4a04f98a319296810a77829905d4" ns1:_="" ns2:_="" ns3:_="" ns4:_="">
    <xsd:import namespace="http://schemas.microsoft.com/sharepoint/v3"/>
    <xsd:import namespace="d8ef97fa-94c9-411f-9b06-dfefe4e2704f"/>
    <xsd:import namespace="648c5734-f1d6-40de-a20e-b8e8e183b36e"/>
    <xsd:import namespace="98c979c8-5cc6-4a9b-a294-0cca0250ec0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ef97fa-94c9-411f-9b06-dfefe4e27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cbbe903-58cc-443a-a301-813d5a06ec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8c5734-f1d6-40de-a20e-b8e8e183b36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c979c8-5cc6-4a9b-a294-0cca0250ec0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c754b843-bec5-4de5-8254-850df2a2a339}" ma:internalName="TaxCatchAll" ma:showField="CatchAllData" ma:web="648c5734-f1d6-40de-a20e-b8e8e183b3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8c979c8-5cc6-4a9b-a294-0cca0250ec09" xsi:nil="true"/>
    <_ip_UnifiedCompliancePolicyProperties xmlns="http://schemas.microsoft.com/sharepoint/v3" xsi:nil="true"/>
    <lcf76f155ced4ddcb4097134ff3c332f xmlns="d8ef97fa-94c9-411f-9b06-dfefe4e270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1D9583-C7AB-4A7E-99F5-A78865D3CBA4}"/>
</file>

<file path=customXml/itemProps2.xml><?xml version="1.0" encoding="utf-8"?>
<ds:datastoreItem xmlns:ds="http://schemas.openxmlformats.org/officeDocument/2006/customXml" ds:itemID="{31BEE00C-5340-4CBE-9DD4-3764BF671B34}"/>
</file>

<file path=customXml/itemProps3.xml><?xml version="1.0" encoding="utf-8"?>
<ds:datastoreItem xmlns:ds="http://schemas.openxmlformats.org/officeDocument/2006/customXml" ds:itemID="{A218AEDE-3627-4231-8E32-AE416D9F2598}"/>
</file>

<file path=docProps/app.xml><?xml version="1.0" encoding="utf-8"?>
<Properties xmlns="http://schemas.openxmlformats.org/officeDocument/2006/extended-properties" xmlns:vt="http://schemas.openxmlformats.org/officeDocument/2006/docPropsVTypes">
  <Template>Normal.dotm</Template>
  <TotalTime>6</TotalTime>
  <Pages>2</Pages>
  <Words>431</Words>
  <Characters>2460</Characters>
  <Application>Microsoft Office Word</Application>
  <DocSecurity>0</DocSecurity>
  <Lines>20</Lines>
  <Paragraphs>5</Paragraphs>
  <ScaleCrop>false</ScaleCrop>
  <Company>Bow Valley College</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 Cueto</dc:creator>
  <cp:keywords/>
  <dc:description/>
  <cp:lastModifiedBy>Doc Cueto</cp:lastModifiedBy>
  <cp:revision>1</cp:revision>
  <dcterms:created xsi:type="dcterms:W3CDTF">2025-09-25T22:08:00Z</dcterms:created>
  <dcterms:modified xsi:type="dcterms:W3CDTF">2025-09-25T22:14:00Z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5c44fbe8,18c76401,53ebcbe7</vt:lpwstr>
  </property>
  <property fmtid="{D5CDD505-2E9C-101B-9397-08002B2CF9AE}" pid="3" name="ClassificationContentMarkingFooterFontProps">
    <vt:lpwstr>#000000,10,Aptos</vt:lpwstr>
  </property>
  <property fmtid="{D5CDD505-2E9C-101B-9397-08002B2CF9AE}" pid="4" name="ClassificationContentMarkingFooterText">
    <vt:lpwstr>Classification: General</vt:lpwstr>
  </property>
  <property fmtid="{D5CDD505-2E9C-101B-9397-08002B2CF9AE}" pid="5" name="MSIP_Label_d50cf1ce-8cdf-4ab4-bc8c-1b18f9d490a2_Enabled">
    <vt:lpwstr>true</vt:lpwstr>
  </property>
  <property fmtid="{D5CDD505-2E9C-101B-9397-08002B2CF9AE}" pid="6" name="MSIP_Label_d50cf1ce-8cdf-4ab4-bc8c-1b18f9d490a2_SetDate">
    <vt:lpwstr>2025-09-25T22:14:49Z</vt:lpwstr>
  </property>
  <property fmtid="{D5CDD505-2E9C-101B-9397-08002B2CF9AE}" pid="7" name="MSIP_Label_d50cf1ce-8cdf-4ab4-bc8c-1b18f9d490a2_Method">
    <vt:lpwstr>Standard</vt:lpwstr>
  </property>
  <property fmtid="{D5CDD505-2E9C-101B-9397-08002B2CF9AE}" pid="8" name="MSIP_Label_d50cf1ce-8cdf-4ab4-bc8c-1b18f9d490a2_Name">
    <vt:lpwstr>General</vt:lpwstr>
  </property>
  <property fmtid="{D5CDD505-2E9C-101B-9397-08002B2CF9AE}" pid="9" name="MSIP_Label_d50cf1ce-8cdf-4ab4-bc8c-1b18f9d490a2_SiteId">
    <vt:lpwstr>8f11c6f4-648e-4c0c-bb99-96e8408a8e2a</vt:lpwstr>
  </property>
  <property fmtid="{D5CDD505-2E9C-101B-9397-08002B2CF9AE}" pid="10" name="MSIP_Label_d50cf1ce-8cdf-4ab4-bc8c-1b18f9d490a2_ActionId">
    <vt:lpwstr>9bf0509e-1b4c-47b1-9a8e-9a443a95c3c4</vt:lpwstr>
  </property>
  <property fmtid="{D5CDD505-2E9C-101B-9397-08002B2CF9AE}" pid="11" name="MSIP_Label_d50cf1ce-8cdf-4ab4-bc8c-1b18f9d490a2_ContentBits">
    <vt:lpwstr>2</vt:lpwstr>
  </property>
  <property fmtid="{D5CDD505-2E9C-101B-9397-08002B2CF9AE}" pid="12" name="MSIP_Label_d50cf1ce-8cdf-4ab4-bc8c-1b18f9d490a2_Tag">
    <vt:lpwstr>10, 3, 0, 1</vt:lpwstr>
  </property>
  <property fmtid="{D5CDD505-2E9C-101B-9397-08002B2CF9AE}" pid="13" name="ContentTypeId">
    <vt:lpwstr>0x010100619058512F766E458E894DD16AF50145</vt:lpwstr>
  </property>
  <property fmtid="{D5CDD505-2E9C-101B-9397-08002B2CF9AE}" pid="15" name="docLang">
    <vt:lpwstr>en</vt:lpwstr>
  </property>
  <property fmtid="{D5CDD505-2E9C-101B-9397-08002B2CF9AE}" pid="16" name="MediaServiceImageTags">
    <vt:lpwstr/>
  </property>
</Properties>
</file>