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819E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36A76AFD" w14:textId="1F1D62B4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3257D2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75" style="width:413.4pt;height:232.2pt" o:ole="" o:bordertopcolor="this" o:borderleftcolor="this" o:borderbottomcolor="this" o:borderrightcolor="this">
            <v:imagedata r:id="rId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113" DrawAspect="Content" ObjectID="_1826908190" r:id="rId5"/>
        </w:object>
      </w:r>
    </w:p>
    <w:p w14:paraId="7B7BDD8C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1. Alpha rarefaction plot by group from QIIME2</w:t>
      </w:r>
    </w:p>
    <w:p w14:paraId="59EF2EA2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F6CF74C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76A90481" w14:textId="4D1EAFD0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08D969A2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43830CAB" w14:textId="1DE11267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42953DF1">
          <v:shape id="_x0000_i1030" type="#_x0000_t75" style="width:412.8pt;height:231.6pt" o:ole="" o:bordertopcolor="this" o:borderleftcolor="this" o:borderbottomcolor="this" o:borderrightcolor="this">
            <v:imagedata r:id="rId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0" DrawAspect="Content" ObjectID="_1826908191" r:id="rId7"/>
        </w:object>
      </w:r>
    </w:p>
    <w:p w14:paraId="12AF5208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2: Alpha diversity metrics from MicrobiomeAnalyst2.0. A) Chao1 plot, B) Chao1 boxplot, C) Shannon plot, D) Shannon boxplot</w:t>
      </w:r>
    </w:p>
    <w:p w14:paraId="6AEAC2E3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BDB336A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179BF2BE" w14:textId="55E9723F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7AEC9C69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4CD58D91" w14:textId="3276FC34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0188ABFA">
          <v:shape id="_x0000_i1035" type="#_x0000_t75" style="width:412.8pt;height:231.6pt" o:ole="" o:bordertopcolor="this" o:borderleftcolor="this" o:borderbottomcolor="this" o:borderrightcolor="this">
            <v:imagedata r:id="rId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35" DrawAspect="Content" ObjectID="_1826908192" r:id="rId9"/>
        </w:object>
      </w:r>
    </w:p>
    <w:p w14:paraId="7E2C6A17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3. Principal Coordinates Analysis plot</w:t>
      </w:r>
    </w:p>
    <w:p w14:paraId="08EEEC78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1B15A64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08A0F4E0" w14:textId="22536D42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4E801A11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821FA00" w14:textId="7E9D7A69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20C4406F">
          <v:shape id="_x0000_i1040" type="#_x0000_t75" style="width:412.8pt;height:231.6pt" o:ole="" o:bordertopcolor="this" o:borderleftcolor="this" o:borderbottomcolor="this" o:borderrightcolor="this">
            <v:imagedata r:id="rId1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0" DrawAspect="Content" ObjectID="_1826908193" r:id="rId11"/>
        </w:object>
      </w:r>
    </w:p>
    <w:p w14:paraId="4B51E605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4. A) Rarefaction Curves by Sample (NF-Core QIIME2 Pipeline), B) Rarefaction Curves by Sample (QIIME2 Pipeline)</w:t>
      </w:r>
    </w:p>
    <w:p w14:paraId="1FF22B1B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0FF6D70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CE1F9D4" w14:textId="643A113B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5A9E2FA6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14D80D1F" w14:textId="6B573C02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79D62C19">
          <v:shape id="_x0000_i1045" type="#_x0000_t75" style="width:414.6pt;height:232.8pt" o:ole="" o:bordertopcolor="this" o:borderleftcolor="this" o:borderbottomcolor="this" o:borderrightcolor="this">
            <v:imagedata r:id="rId1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45" DrawAspect="Content" ObjectID="_1826908194" r:id="rId13"/>
        </w:object>
      </w:r>
    </w:p>
    <w:p w14:paraId="615DFDF8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5. Shannon diversity index histograms. A) NF-Core, B) QIIME2</w:t>
      </w:r>
    </w:p>
    <w:p w14:paraId="6DE50788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F8E3E00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103EF8B5" w14:textId="5AD7EA41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6E1AD13B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C2EABFF" w14:textId="57F2586B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08652976">
          <v:shape id="_x0000_i1050" type="#_x0000_t75" style="width:413.4pt;height:232.2pt" o:ole="" o:bordertopcolor="this" o:borderleftcolor="this" o:borderbottomcolor="this" o:borderrightcolor="this">
            <v:imagedata r:id="rId1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0" DrawAspect="Content" ObjectID="_1826908195" r:id="rId15"/>
        </w:object>
      </w:r>
    </w:p>
    <w:p w14:paraId="7922AF00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6. Shannon diversity index boxplots. A) NF-Core, B) QIIME2</w:t>
      </w:r>
    </w:p>
    <w:p w14:paraId="42A07D06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</w:p>
    <w:p w14:paraId="21E929EC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4CAACAF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09D9E736" w14:textId="7F96E9D2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432C71F3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283B5F41" w14:textId="5FDE595D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7A748522">
          <v:shape id="_x0000_i1055" type="#_x0000_t75" style="width:414.6pt;height:232.8pt" o:ole="" o:bordertopcolor="this" o:borderleftcolor="this" o:borderbottomcolor="this" o:borderrightcolor="this">
            <v:imagedata r:id="rId1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55" DrawAspect="Content" ObjectID="_1826908196" r:id="rId17"/>
        </w:object>
      </w:r>
    </w:p>
    <w:p w14:paraId="4537A3DB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7. Simpson diversity index histograms. A) NF-Core, B) QIIME2</w:t>
      </w:r>
    </w:p>
    <w:p w14:paraId="0295D105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</w:p>
    <w:p w14:paraId="488052BB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463285F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3D7CAF72" w14:textId="73637882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00EC6ECD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419AFC84" w14:textId="43FB7AE8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311279AA">
          <v:shape id="_x0000_i1060" type="#_x0000_t75" style="width:412.2pt;height:231.6pt" o:ole="" o:bordertopcolor="this" o:borderleftcolor="this" o:borderbottomcolor="this" o:borderrightcolor="this">
            <v:imagedata r:id="rId1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0" DrawAspect="Content" ObjectID="_1826908197" r:id="rId19"/>
        </w:object>
      </w:r>
    </w:p>
    <w:p w14:paraId="1B4C755F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8. Simpson diversity index boxplots. A) NF-Core, B) QIIME2</w:t>
      </w:r>
    </w:p>
    <w:p w14:paraId="5F3F7A0D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527B72B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61BB23E5" w14:textId="635CFAE8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3BB16933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2CB21794" w14:textId="1C34287D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6FE8FEBC">
          <v:shape id="_x0000_i1065" type="#_x0000_t75" style="width:414.6pt;height:232.8pt" o:ole="" o:bordertopcolor="this" o:borderleftcolor="this" o:borderbottomcolor="this" o:borderrightcolor="this">
            <v:imagedata r:id="rId2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65" DrawAspect="Content" ObjectID="_1826908198" r:id="rId21"/>
        </w:object>
      </w:r>
    </w:p>
    <w:p w14:paraId="293AADC5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9. Bray Dissimilarity Index histograms. A) NF-Core, B) QIIME2</w:t>
      </w:r>
    </w:p>
    <w:p w14:paraId="4B293110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4895E0E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0A1AC172" w14:textId="3F7BF074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031058DF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7397914A" w14:textId="200161C6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6EE20EBE">
          <v:shape id="_x0000_i1070" type="#_x0000_t75" style="width:413.4pt;height:232.2pt" o:ole="" o:bordertopcolor="this" o:borderleftcolor="this" o:borderbottomcolor="this" o:borderrightcolor="this">
            <v:imagedata r:id="rId2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70" DrawAspect="Content" ObjectID="_1826908199" r:id="rId23"/>
        </w:object>
      </w:r>
    </w:p>
    <w:p w14:paraId="1D1FFB8C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10. Bray Dissimilarity Index boxplots. A) NF-Core, B) QIIME2</w:t>
      </w:r>
    </w:p>
    <w:p w14:paraId="6F01F755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8CE42F9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0F1F2D7" w14:textId="7AE8B773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3942F294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169821B9" w14:textId="4C85E2D3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2695FF7A">
          <v:shape id="_x0000_i1075" type="#_x0000_t75" style="width:413.4pt;height:232.2pt" o:ole="" o:bordertopcolor="this" o:borderleftcolor="this" o:borderbottomcolor="this" o:borderrightcolor="this">
            <v:imagedata r:id="rId2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75" DrawAspect="Content" ObjectID="_1826908200" r:id="rId25"/>
        </w:object>
      </w:r>
    </w:p>
    <w:p w14:paraId="3EB0F0FF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10. Gower Dissimilarity Index histograms. A) NF-Core, B) QIIME2</w:t>
      </w:r>
    </w:p>
    <w:p w14:paraId="251A49D8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B6FC6E2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7382F12A" w14:textId="2A799458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119700B8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4059AAAF" w14:textId="2285159D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5B27B7EE">
          <v:shape id="_x0000_i1080" type="#_x0000_t75" style="width:414.6pt;height:232.8pt" o:ole="" o:bordertopcolor="this" o:borderleftcolor="this" o:borderbottomcolor="this" o:borderrightcolor="this">
            <v:imagedata r:id="rId2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80" DrawAspect="Content" ObjectID="_1826908201" r:id="rId27"/>
        </w:object>
      </w:r>
    </w:p>
    <w:p w14:paraId="68F0D514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12. Gower Dissimilarity Index boxplots. A) NF-Core, B) QIIME2</w:t>
      </w:r>
    </w:p>
    <w:p w14:paraId="7A2B4989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</w:p>
    <w:p w14:paraId="69B114D6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F9AE75F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1B06ABA" w14:textId="77FB44B3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356F13D4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2F5B844" w14:textId="63140683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7554E946">
          <v:shape id="_x0000_i1085" type="#_x0000_t75" style="width:413.4pt;height:232.2pt" o:ole="" o:bordertopcolor="this" o:borderleftcolor="this" o:borderbottomcolor="this" o:borderrightcolor="this">
            <v:imagedata r:id="rId28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85" DrawAspect="Content" ObjectID="_1826908202" r:id="rId29"/>
        </w:object>
      </w:r>
    </w:p>
    <w:p w14:paraId="54EAEE3B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13. Correlation matrix of clinical values</w:t>
      </w:r>
    </w:p>
    <w:p w14:paraId="53C23821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06F58A5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0EC0D2E0" w14:textId="166686C3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19F0A8C5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23FEA4D2" w14:textId="57639AD6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5E043CAB">
          <v:shape id="_x0000_i1090" type="#_x0000_t75" style="width:413.4pt;height:232.2pt" o:ole="" o:bordertopcolor="this" o:borderleftcolor="this" o:borderbottomcolor="this" o:borderrightcolor="this">
            <v:imagedata r:id="rId30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90" DrawAspect="Content" ObjectID="_1826908203" r:id="rId31"/>
        </w:object>
      </w:r>
    </w:p>
    <w:p w14:paraId="2F48AC78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 xml:space="preserve">Table 1. Comparison of Canonical Correspondence Analysis Model </w:t>
      </w:r>
      <w:proofErr w:type="spellStart"/>
      <w:r w:rsidRPr="00C742E0">
        <w:rPr>
          <w:rFonts w:ascii="Times New Roman" w:hAnsi="Times New Roman" w:cs="Times New Roman"/>
          <w:kern w:val="24"/>
        </w:rPr>
        <w:t>Statstics</w:t>
      </w:r>
      <w:proofErr w:type="spellEnd"/>
      <w:r w:rsidRPr="00C742E0">
        <w:rPr>
          <w:rFonts w:ascii="Times New Roman" w:hAnsi="Times New Roman" w:cs="Times New Roman"/>
          <w:kern w:val="24"/>
        </w:rPr>
        <w:t xml:space="preserve"> and </w:t>
      </w:r>
    </w:p>
    <w:p w14:paraId="120D35A3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4D5B496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6B3F557E" w14:textId="77BFC658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7021584B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923B0EC" w14:textId="3284200F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46FE3EEA">
          <v:shape id="_x0000_i1095" type="#_x0000_t75" style="width:413.4pt;height:232.2pt" o:ole="" o:bordertopcolor="this" o:borderleftcolor="this" o:borderbottomcolor="this" o:borderrightcolor="this">
            <v:imagedata r:id="rId32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095" DrawAspect="Content" ObjectID="_1826908204" r:id="rId33"/>
        </w:object>
      </w:r>
    </w:p>
    <w:p w14:paraId="19C7BE5C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Table 2: Eigenvalues and Cumulative Proportion of Constrained Variance Explained by Canonical Axes (CCA1–CCA12)</w:t>
      </w:r>
    </w:p>
    <w:p w14:paraId="1EDE84C6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E29FF3C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3759805" w14:textId="2D45EBB8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4205E9BB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1250EDED" w14:textId="412BAEA0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62657380">
          <v:shape id="_x0000_i1100" type="#_x0000_t75" style="width:412.8pt;height:231.6pt" o:ole="" o:bordertopcolor="this" o:borderleftcolor="this" o:borderbottomcolor="this" o:borderrightcolor="this">
            <v:imagedata r:id="rId34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100" DrawAspect="Content" ObjectID="_1826908205" r:id="rId35"/>
        </w:object>
      </w:r>
    </w:p>
    <w:p w14:paraId="0A3DE9E3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14. Canonical Correspondence Analysis (CCA) Biplot of Microbial Community Constrained by Clinical Factors (NF-Core QIIME2)</w:t>
      </w:r>
    </w:p>
    <w:p w14:paraId="04425839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B8BAE07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5AF23492" w14:textId="18D7B43C" w:rsidR="00C742E0" w:rsidRPr="00C742E0" w:rsidRDefault="00C742E0" w:rsidP="00C742E0">
      <w:pPr>
        <w:spacing w:after="0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br w:type="page"/>
      </w:r>
    </w:p>
    <w:p w14:paraId="6EF94F8D" w14:textId="77777777" w:rsidR="00C742E0" w:rsidRPr="00C742E0" w:rsidRDefault="00C742E0" w:rsidP="00C742E0">
      <w:pPr>
        <w:spacing w:after="0" w:line="360" w:lineRule="auto"/>
        <w:rPr>
          <w:rFonts w:ascii="Times New Roman" w:hAnsi="Times New Roman" w:cs="Times New Roman"/>
        </w:rPr>
      </w:pPr>
    </w:p>
    <w:p w14:paraId="26F74851" w14:textId="2C9D4F48" w:rsidR="00C742E0" w:rsidRPr="00C742E0" w:rsidRDefault="00C742E0" w:rsidP="00C742E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42E0">
        <w:rPr>
          <w:rFonts w:ascii="Times New Roman" w:hAnsi="Times New Roman" w:cs="Times New Roman"/>
        </w:rPr>
        <w:object w:dxaOrig="9605" w:dyaOrig="5393" w14:anchorId="707F4222">
          <v:shape id="_x0000_i1105" type="#_x0000_t75" style="width:412.8pt;height:231.6pt" o:ole="" o:bordertopcolor="this" o:borderleftcolor="this" o:borderbottomcolor="this" o:borderrightcolor="this">
            <v:imagedata r:id="rId36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owerPoint.Slide.12" ShapeID="_x0000_i1105" DrawAspect="Content" ObjectID="_1826908206" r:id="rId37"/>
        </w:object>
      </w:r>
    </w:p>
    <w:p w14:paraId="2FC2658C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4"/>
        </w:rPr>
      </w:pPr>
      <w:r w:rsidRPr="00C742E0">
        <w:rPr>
          <w:rFonts w:ascii="Times New Roman" w:hAnsi="Times New Roman" w:cs="Times New Roman"/>
          <w:kern w:val="24"/>
        </w:rPr>
        <w:t>Figure 15. Canonical Correspondence Analysis (CCA) Biplot of Microbial Community Constrained by Clinical Factors (QIIME2)</w:t>
      </w:r>
    </w:p>
    <w:p w14:paraId="4FBE7643" w14:textId="77777777" w:rsidR="00C742E0" w:rsidRPr="00C742E0" w:rsidRDefault="00C742E0" w:rsidP="00C742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sectPr w:rsidR="00C742E0" w:rsidRPr="00C74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E0"/>
    <w:rsid w:val="003766DF"/>
    <w:rsid w:val="005B11E1"/>
    <w:rsid w:val="006E6EB2"/>
    <w:rsid w:val="007D1C7A"/>
    <w:rsid w:val="00C7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120F4"/>
  <w15:chartTrackingRefBased/>
  <w15:docId w15:val="{2A0221C5-44EE-478E-981F-6ED0856A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PowerPoint_Slide4.sldx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theme" Target="theme/theme1.xml"/><Relationship Id="rId21" Type="http://schemas.openxmlformats.org/officeDocument/2006/relationships/package" Target="embeddings/Microsoft_PowerPoint_Slide8.sldx"/><Relationship Id="rId34" Type="http://schemas.openxmlformats.org/officeDocument/2006/relationships/image" Target="media/image16.emf"/><Relationship Id="rId7" Type="http://schemas.openxmlformats.org/officeDocument/2006/relationships/package" Target="embeddings/Microsoft_PowerPoint_Slide1.sldx"/><Relationship Id="rId12" Type="http://schemas.openxmlformats.org/officeDocument/2006/relationships/image" Target="media/image5.emf"/><Relationship Id="rId17" Type="http://schemas.openxmlformats.org/officeDocument/2006/relationships/package" Target="embeddings/Microsoft_PowerPoint_Slide6.sldx"/><Relationship Id="rId25" Type="http://schemas.openxmlformats.org/officeDocument/2006/relationships/package" Target="embeddings/Microsoft_PowerPoint_Slide10.sldx"/><Relationship Id="rId33" Type="http://schemas.openxmlformats.org/officeDocument/2006/relationships/package" Target="embeddings/Microsoft_PowerPoint_Slide14.sldx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package" Target="embeddings/Microsoft_PowerPoint_Slide12.sldx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PowerPoint_Slide3.sldx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package" Target="embeddings/Microsoft_PowerPoint_Slide16.sldx"/><Relationship Id="rId5" Type="http://schemas.openxmlformats.org/officeDocument/2006/relationships/package" Target="embeddings/Microsoft_PowerPoint_Slide.sldx"/><Relationship Id="rId15" Type="http://schemas.openxmlformats.org/officeDocument/2006/relationships/package" Target="embeddings/Microsoft_PowerPoint_Slide5.sldx"/><Relationship Id="rId23" Type="http://schemas.openxmlformats.org/officeDocument/2006/relationships/package" Target="embeddings/Microsoft_PowerPoint_Slide9.sldx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package" Target="embeddings/Microsoft_PowerPoint_Slide7.sldx"/><Relationship Id="rId31" Type="http://schemas.openxmlformats.org/officeDocument/2006/relationships/package" Target="embeddings/Microsoft_PowerPoint_Slide13.sldx"/><Relationship Id="rId4" Type="http://schemas.openxmlformats.org/officeDocument/2006/relationships/image" Target="media/image1.emf"/><Relationship Id="rId9" Type="http://schemas.openxmlformats.org/officeDocument/2006/relationships/package" Target="embeddings/Microsoft_PowerPoint_Slide2.sl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Microsoft_PowerPoint_Slide11.sldx"/><Relationship Id="rId30" Type="http://schemas.openxmlformats.org/officeDocument/2006/relationships/image" Target="media/image14.emf"/><Relationship Id="rId35" Type="http://schemas.openxmlformats.org/officeDocument/2006/relationships/package" Target="embeddings/Microsoft_PowerPoint_Slide15.sldx"/><Relationship Id="rId8" Type="http://schemas.openxmlformats.org/officeDocument/2006/relationships/image" Target="media/image3.e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R</dc:creator>
  <cp:keywords/>
  <dc:description/>
  <cp:lastModifiedBy>Drew R</cp:lastModifiedBy>
  <cp:revision>1</cp:revision>
  <dcterms:created xsi:type="dcterms:W3CDTF">2025-12-11T01:54:00Z</dcterms:created>
  <dcterms:modified xsi:type="dcterms:W3CDTF">2025-12-11T02:42:00Z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2b5592ba-fa37-4f2d-bcd1-dc82de392689</vt:lpwstr>
  </property>
</Properties>
</file>