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E0EAC" w14:textId="0D13BFBE" w:rsidR="00000FAF" w:rsidRPr="007032D0" w:rsidRDefault="00F54821" w:rsidP="007032D0">
      <w:pPr>
        <w:pStyle w:val="Default"/>
        <w:jc w:val="center"/>
        <w:rPr>
          <w:b/>
          <w:bCs/>
        </w:rPr>
      </w:pPr>
      <w:r w:rsidRPr="007032D0">
        <w:rPr>
          <w:b/>
          <w:bCs/>
        </w:rPr>
        <w:t>JOINT APPOINTMENT GUIDELINES</w:t>
      </w:r>
      <w:r w:rsidR="007032D0" w:rsidRPr="007032D0">
        <w:rPr>
          <w:b/>
          <w:bCs/>
        </w:rPr>
        <w:br/>
        <w:t>for The National Center for Physical Acoustics</w:t>
      </w:r>
    </w:p>
    <w:p w14:paraId="28BBC8B9" w14:textId="77777777" w:rsidR="00F54821" w:rsidRPr="007032D0" w:rsidRDefault="00F54821" w:rsidP="007032D0">
      <w:pPr>
        <w:pStyle w:val="Default"/>
        <w:jc w:val="center"/>
      </w:pPr>
    </w:p>
    <w:p w14:paraId="471024DE" w14:textId="4FAC92F0" w:rsidR="00F54821" w:rsidRPr="007032D0" w:rsidRDefault="00F54821" w:rsidP="00F54821">
      <w:pPr>
        <w:pStyle w:val="Default"/>
        <w:jc w:val="both"/>
      </w:pPr>
      <w:r w:rsidRPr="007032D0">
        <w:rPr>
          <w:b/>
          <w:bCs/>
        </w:rPr>
        <w:t>Purpose</w:t>
      </w:r>
    </w:p>
    <w:p w14:paraId="6FFFC20B" w14:textId="524706D1" w:rsidR="00F54821" w:rsidRPr="007032D0" w:rsidRDefault="00F54821" w:rsidP="00F54821">
      <w:pPr>
        <w:spacing w:before="240"/>
        <w:jc w:val="both"/>
      </w:pPr>
      <w:r w:rsidRPr="007032D0">
        <w:t>The purpose of this document is to describe the criteria by which a faculty member may establish and maintain a joint appointment (JA) between the NCPA and another unit at the University of Mississippi (UM). These JAs fall into two categories: 1) the faculty member has a primary appointment in an academic unit and would like to establish a formal relationship with the NCPA, or 2) the faculty member has a primary appointment at the NCPA and would like to establish a formal relationship with an academic unit. These guidelines will serve as the basis for a Memorandum of Understanding (MOU) between NCPA and the other unit, specific to each case.</w:t>
      </w:r>
    </w:p>
    <w:p w14:paraId="2E87BED8" w14:textId="77777777" w:rsidR="00F54821" w:rsidRPr="007032D0" w:rsidRDefault="00F54821" w:rsidP="00F54821">
      <w:pPr>
        <w:pStyle w:val="Default"/>
        <w:jc w:val="both"/>
      </w:pPr>
    </w:p>
    <w:p w14:paraId="28B1334C" w14:textId="40E6BA56" w:rsidR="00F54821" w:rsidRPr="007032D0" w:rsidRDefault="00F54821" w:rsidP="00F54821">
      <w:pPr>
        <w:pStyle w:val="Default"/>
        <w:jc w:val="both"/>
      </w:pPr>
    </w:p>
    <w:p w14:paraId="3109A162" w14:textId="6FFA4F57" w:rsidR="00F54821" w:rsidRPr="007032D0" w:rsidRDefault="00F54821" w:rsidP="00F54821">
      <w:pPr>
        <w:pStyle w:val="Default"/>
        <w:numPr>
          <w:ilvl w:val="0"/>
          <w:numId w:val="1"/>
        </w:numPr>
        <w:ind w:left="360"/>
        <w:jc w:val="both"/>
      </w:pPr>
      <w:r w:rsidRPr="007032D0">
        <w:rPr>
          <w:b/>
          <w:bCs/>
        </w:rPr>
        <w:t xml:space="preserve">Case 1: </w:t>
      </w:r>
      <w:r w:rsidRPr="007032D0">
        <w:rPr>
          <w:b/>
          <w:bCs/>
        </w:rPr>
        <w:t xml:space="preserve"> </w:t>
      </w:r>
      <w:r w:rsidRPr="007032D0">
        <w:rPr>
          <w:b/>
          <w:bCs/>
        </w:rPr>
        <w:t xml:space="preserve">Primary in </w:t>
      </w:r>
      <w:r w:rsidR="007032D0" w:rsidRPr="007032D0">
        <w:rPr>
          <w:b/>
          <w:bCs/>
        </w:rPr>
        <w:t>A</w:t>
      </w:r>
      <w:r w:rsidRPr="007032D0">
        <w:rPr>
          <w:b/>
          <w:bCs/>
        </w:rPr>
        <w:t xml:space="preserve">nother </w:t>
      </w:r>
      <w:r w:rsidR="007032D0" w:rsidRPr="007032D0">
        <w:rPr>
          <w:b/>
          <w:bCs/>
        </w:rPr>
        <w:t>U</w:t>
      </w:r>
      <w:r w:rsidRPr="007032D0">
        <w:rPr>
          <w:b/>
          <w:bCs/>
        </w:rPr>
        <w:t xml:space="preserve">nit, </w:t>
      </w:r>
      <w:r w:rsidR="007032D0" w:rsidRPr="007032D0">
        <w:rPr>
          <w:b/>
          <w:bCs/>
        </w:rPr>
        <w:t>S</w:t>
      </w:r>
      <w:r w:rsidRPr="007032D0">
        <w:rPr>
          <w:b/>
          <w:bCs/>
        </w:rPr>
        <w:t xml:space="preserve">econdary in NCPA </w:t>
      </w:r>
    </w:p>
    <w:p w14:paraId="5980FDF9" w14:textId="77777777" w:rsidR="00F54821" w:rsidRPr="007032D0" w:rsidRDefault="00F54821" w:rsidP="00F54821">
      <w:pPr>
        <w:pStyle w:val="Default"/>
        <w:jc w:val="both"/>
      </w:pPr>
    </w:p>
    <w:p w14:paraId="5225424C" w14:textId="77777777" w:rsidR="00F54821" w:rsidRPr="007032D0" w:rsidRDefault="00F54821" w:rsidP="00F54821">
      <w:pPr>
        <w:pStyle w:val="Default"/>
        <w:numPr>
          <w:ilvl w:val="0"/>
          <w:numId w:val="2"/>
        </w:numPr>
        <w:jc w:val="both"/>
      </w:pPr>
      <w:r w:rsidRPr="007032D0">
        <w:rPr>
          <w:b/>
          <w:bCs/>
        </w:rPr>
        <w:t xml:space="preserve">Salary Support </w:t>
      </w:r>
    </w:p>
    <w:p w14:paraId="4A9FF16A" w14:textId="127FF6A1" w:rsidR="00F54821" w:rsidRPr="007032D0" w:rsidRDefault="00F54821" w:rsidP="00F54821">
      <w:pPr>
        <w:pStyle w:val="Default"/>
        <w:spacing w:after="120"/>
        <w:ind w:left="720"/>
        <w:jc w:val="both"/>
      </w:pPr>
      <w:r w:rsidRPr="007032D0">
        <w:t xml:space="preserve">NCPA is a research unit, dependent entirely upon external funding. NCPA will not contribute to the salary of the faculty member or research / startup funding unless special circumstances are demonstrated and negotiated. </w:t>
      </w:r>
    </w:p>
    <w:p w14:paraId="4D2B4EF9" w14:textId="77777777" w:rsidR="00F54821" w:rsidRPr="007032D0" w:rsidRDefault="00F54821" w:rsidP="00F54821">
      <w:pPr>
        <w:pStyle w:val="Default"/>
        <w:numPr>
          <w:ilvl w:val="0"/>
          <w:numId w:val="2"/>
        </w:numPr>
        <w:jc w:val="both"/>
      </w:pPr>
      <w:r w:rsidRPr="007032D0">
        <w:rPr>
          <w:b/>
          <w:bCs/>
        </w:rPr>
        <w:t xml:space="preserve">Office and Lab Space </w:t>
      </w:r>
    </w:p>
    <w:p w14:paraId="21B5CE3E" w14:textId="7A6D4635" w:rsidR="00F54821" w:rsidRPr="007032D0" w:rsidRDefault="00F54821" w:rsidP="00F54821">
      <w:pPr>
        <w:pStyle w:val="Default"/>
        <w:spacing w:after="120"/>
        <w:ind w:left="720"/>
        <w:jc w:val="both"/>
      </w:pPr>
      <w:r w:rsidRPr="007032D0">
        <w:t xml:space="preserve">Every reasonable effort will be made to provide office and lab space appropriate to the research needs of the applicant. These needs must be outlined and justified (including technical aspects of the space) in a written document submitted to the Director of the NCPA. If appropriate space is not available at NCPA, the Director will work with the Department Chair of the primary unit to find a solution. </w:t>
      </w:r>
    </w:p>
    <w:p w14:paraId="2F26C0AA" w14:textId="77777777" w:rsidR="00F54821" w:rsidRPr="007032D0" w:rsidRDefault="00F54821" w:rsidP="00F54821">
      <w:pPr>
        <w:pStyle w:val="Default"/>
        <w:numPr>
          <w:ilvl w:val="0"/>
          <w:numId w:val="2"/>
        </w:numPr>
        <w:jc w:val="both"/>
      </w:pPr>
      <w:r w:rsidRPr="007032D0">
        <w:rPr>
          <w:b/>
          <w:bCs/>
        </w:rPr>
        <w:t xml:space="preserve">F&amp;A Recoveries </w:t>
      </w:r>
    </w:p>
    <w:p w14:paraId="4B5138AE" w14:textId="118179B5" w:rsidR="00F54821" w:rsidRPr="007032D0" w:rsidRDefault="00F54821" w:rsidP="00F54821">
      <w:pPr>
        <w:pStyle w:val="Default"/>
        <w:spacing w:after="120"/>
        <w:ind w:left="720"/>
        <w:jc w:val="both"/>
      </w:pPr>
      <w:r w:rsidRPr="007032D0">
        <w:t xml:space="preserve">For any funded research occurring within the NCPA and/or utilizing NCPA resources, the primary unit and NCPA will evenly split the F&amp;A Recoveries. For projects only partially utilizing NCPA resources, an appropriate split will be negotiated between the NCPA Director and Department Chair and/or Dean. </w:t>
      </w:r>
    </w:p>
    <w:p w14:paraId="06588B3F" w14:textId="77777777" w:rsidR="00F54821" w:rsidRPr="007032D0" w:rsidRDefault="00F54821" w:rsidP="00F54821">
      <w:pPr>
        <w:pStyle w:val="Default"/>
        <w:numPr>
          <w:ilvl w:val="0"/>
          <w:numId w:val="2"/>
        </w:numPr>
        <w:jc w:val="both"/>
      </w:pPr>
      <w:r w:rsidRPr="007032D0">
        <w:rPr>
          <w:b/>
          <w:bCs/>
        </w:rPr>
        <w:t xml:space="preserve">Level of Effort </w:t>
      </w:r>
    </w:p>
    <w:p w14:paraId="15D72B85" w14:textId="30E994D7" w:rsidR="00F54821" w:rsidRDefault="00F54821" w:rsidP="00F54821">
      <w:pPr>
        <w:pStyle w:val="Default"/>
        <w:spacing w:after="120"/>
        <w:ind w:left="720"/>
        <w:jc w:val="both"/>
      </w:pPr>
      <w:r w:rsidRPr="007032D0">
        <w:t xml:space="preserve">NCPA is a research organization, so no teaching load will be required by NCPA. Minimal service to NCPA will be required in the form of serving on the Executive Committee, periodically being available during VIP tours of the NCPA, participation in committees with a targeted purpose, etc. </w:t>
      </w:r>
    </w:p>
    <w:p w14:paraId="48F88B99" w14:textId="77777777" w:rsidR="00F54821" w:rsidRPr="007032D0" w:rsidRDefault="00F54821" w:rsidP="00F54821">
      <w:pPr>
        <w:pStyle w:val="Default"/>
        <w:numPr>
          <w:ilvl w:val="0"/>
          <w:numId w:val="2"/>
        </w:numPr>
        <w:jc w:val="both"/>
      </w:pPr>
      <w:r w:rsidRPr="007032D0">
        <w:rPr>
          <w:b/>
          <w:bCs/>
        </w:rPr>
        <w:lastRenderedPageBreak/>
        <w:t xml:space="preserve">Promotion and Tenure </w:t>
      </w:r>
    </w:p>
    <w:p w14:paraId="2110DC21" w14:textId="0DE29847" w:rsidR="00F54821" w:rsidRPr="007032D0" w:rsidRDefault="00F54821" w:rsidP="00F54821">
      <w:pPr>
        <w:pStyle w:val="Default"/>
        <w:spacing w:after="120"/>
        <w:ind w:left="720"/>
        <w:jc w:val="both"/>
      </w:pPr>
      <w:r w:rsidRPr="007032D0">
        <w:t xml:space="preserve">The faculty member will be eligible for promotion within the NCPA rank structure and must follow the procedures outlined in the NCPA Promotion Policy. This will be independent of the academic tenure and promotion process. NCPA leadership will not be involved in tenure decisions unless requested by UM administration. </w:t>
      </w:r>
    </w:p>
    <w:p w14:paraId="44C3B668" w14:textId="77777777" w:rsidR="00F54821" w:rsidRPr="007032D0" w:rsidRDefault="00F54821" w:rsidP="00F54821">
      <w:pPr>
        <w:pStyle w:val="Default"/>
        <w:numPr>
          <w:ilvl w:val="0"/>
          <w:numId w:val="2"/>
        </w:numPr>
        <w:jc w:val="both"/>
      </w:pPr>
      <w:r w:rsidRPr="007032D0">
        <w:rPr>
          <w:b/>
          <w:bCs/>
        </w:rPr>
        <w:t xml:space="preserve">Annual Evaluations </w:t>
      </w:r>
    </w:p>
    <w:p w14:paraId="13CDCCAD" w14:textId="02104214" w:rsidR="00F54821" w:rsidRPr="007032D0" w:rsidRDefault="00F54821" w:rsidP="00F54821">
      <w:pPr>
        <w:pStyle w:val="Default"/>
        <w:ind w:left="720"/>
        <w:jc w:val="both"/>
      </w:pPr>
      <w:r w:rsidRPr="007032D0">
        <w:t xml:space="preserve">Annual evaluations shall be the responsibility of the administration in the primary academic unit. </w:t>
      </w:r>
    </w:p>
    <w:p w14:paraId="17345F31" w14:textId="50E3273D" w:rsidR="00F54821" w:rsidRPr="007032D0" w:rsidRDefault="00F54821" w:rsidP="00F54821">
      <w:pPr>
        <w:pStyle w:val="Default"/>
        <w:jc w:val="both"/>
      </w:pPr>
    </w:p>
    <w:p w14:paraId="35653A75" w14:textId="77777777" w:rsidR="00F54821" w:rsidRPr="007032D0" w:rsidRDefault="00F54821" w:rsidP="00F54821">
      <w:pPr>
        <w:pStyle w:val="Default"/>
        <w:jc w:val="both"/>
      </w:pPr>
    </w:p>
    <w:p w14:paraId="7EFA8C51" w14:textId="69F4F9CC" w:rsidR="00F54821" w:rsidRPr="007032D0" w:rsidRDefault="00F54821" w:rsidP="00F54821">
      <w:pPr>
        <w:pStyle w:val="Default"/>
        <w:numPr>
          <w:ilvl w:val="0"/>
          <w:numId w:val="1"/>
        </w:numPr>
        <w:tabs>
          <w:tab w:val="left" w:pos="360"/>
        </w:tabs>
        <w:ind w:hanging="720"/>
        <w:jc w:val="both"/>
        <w:rPr>
          <w:b/>
          <w:bCs/>
        </w:rPr>
      </w:pPr>
      <w:r w:rsidRPr="007032D0">
        <w:rPr>
          <w:b/>
          <w:bCs/>
        </w:rPr>
        <w:t xml:space="preserve">Case 2: </w:t>
      </w:r>
      <w:r w:rsidRPr="007032D0">
        <w:rPr>
          <w:b/>
          <w:bCs/>
        </w:rPr>
        <w:t xml:space="preserve"> </w:t>
      </w:r>
      <w:r w:rsidRPr="007032D0">
        <w:rPr>
          <w:b/>
          <w:bCs/>
        </w:rPr>
        <w:t xml:space="preserve">Primary at NCPA, </w:t>
      </w:r>
      <w:r w:rsidR="007032D0" w:rsidRPr="007032D0">
        <w:rPr>
          <w:b/>
          <w:bCs/>
        </w:rPr>
        <w:t>S</w:t>
      </w:r>
      <w:r w:rsidRPr="007032D0">
        <w:rPr>
          <w:b/>
          <w:bCs/>
        </w:rPr>
        <w:t xml:space="preserve">econdary in </w:t>
      </w:r>
      <w:r w:rsidR="007032D0" w:rsidRPr="007032D0">
        <w:rPr>
          <w:b/>
          <w:bCs/>
        </w:rPr>
        <w:t>A</w:t>
      </w:r>
      <w:r w:rsidRPr="007032D0">
        <w:rPr>
          <w:b/>
          <w:bCs/>
        </w:rPr>
        <w:t xml:space="preserve">nother </w:t>
      </w:r>
      <w:r w:rsidR="007032D0" w:rsidRPr="007032D0">
        <w:rPr>
          <w:b/>
          <w:bCs/>
        </w:rPr>
        <w:t>U</w:t>
      </w:r>
      <w:r w:rsidRPr="007032D0">
        <w:rPr>
          <w:b/>
          <w:bCs/>
        </w:rPr>
        <w:t xml:space="preserve">nit </w:t>
      </w:r>
    </w:p>
    <w:p w14:paraId="5B74F883" w14:textId="77777777" w:rsidR="00F54821" w:rsidRPr="007032D0" w:rsidRDefault="00F54821" w:rsidP="00F54821">
      <w:pPr>
        <w:pStyle w:val="Default"/>
        <w:tabs>
          <w:tab w:val="left" w:pos="360"/>
        </w:tabs>
        <w:jc w:val="both"/>
      </w:pPr>
    </w:p>
    <w:p w14:paraId="7E567802" w14:textId="77777777" w:rsidR="00F54821" w:rsidRPr="007032D0" w:rsidRDefault="00F54821" w:rsidP="007032D0">
      <w:pPr>
        <w:pStyle w:val="Default"/>
        <w:numPr>
          <w:ilvl w:val="0"/>
          <w:numId w:val="4"/>
        </w:numPr>
        <w:jc w:val="both"/>
      </w:pPr>
      <w:r w:rsidRPr="007032D0">
        <w:rPr>
          <w:b/>
          <w:bCs/>
        </w:rPr>
        <w:t xml:space="preserve">Salary Support </w:t>
      </w:r>
    </w:p>
    <w:p w14:paraId="5E577E45" w14:textId="508E4E16" w:rsidR="00F54821" w:rsidRPr="007032D0" w:rsidRDefault="00F54821" w:rsidP="00F54821">
      <w:pPr>
        <w:pStyle w:val="Default"/>
        <w:spacing w:after="120"/>
        <w:ind w:left="720"/>
        <w:jc w:val="both"/>
      </w:pPr>
      <w:r w:rsidRPr="007032D0">
        <w:t xml:space="preserve">NCPA researchers will continue to support their salary through external funding at a level appropriate to their effort toward those projects. If a teaching load or service is required, the academic unit will be expected to contribute to the researcher’s salary commensurate with the level of effort. In general, the teaching load should not exceed 2 courses per year. </w:t>
      </w:r>
    </w:p>
    <w:p w14:paraId="760BEFC3" w14:textId="77777777" w:rsidR="00F54821" w:rsidRPr="007032D0" w:rsidRDefault="00F54821" w:rsidP="007032D0">
      <w:pPr>
        <w:pStyle w:val="Default"/>
        <w:numPr>
          <w:ilvl w:val="0"/>
          <w:numId w:val="4"/>
        </w:numPr>
        <w:jc w:val="both"/>
      </w:pPr>
      <w:r w:rsidRPr="007032D0">
        <w:rPr>
          <w:b/>
          <w:bCs/>
        </w:rPr>
        <w:t xml:space="preserve">Office and Lab Space </w:t>
      </w:r>
    </w:p>
    <w:p w14:paraId="579ED2DD" w14:textId="5646D2A5" w:rsidR="00F54821" w:rsidRPr="007032D0" w:rsidRDefault="00F54821" w:rsidP="00F54821">
      <w:pPr>
        <w:pStyle w:val="Default"/>
        <w:spacing w:after="120"/>
        <w:ind w:left="720"/>
        <w:jc w:val="both"/>
      </w:pPr>
      <w:r w:rsidRPr="007032D0">
        <w:t xml:space="preserve">The research faculty will be allowed to keep current office and lab space at NCPA as long they are engaged in active funded research. </w:t>
      </w:r>
    </w:p>
    <w:p w14:paraId="0A1D9CD1" w14:textId="77777777" w:rsidR="00F54821" w:rsidRPr="007032D0" w:rsidRDefault="00F54821" w:rsidP="007032D0">
      <w:pPr>
        <w:pStyle w:val="Default"/>
        <w:numPr>
          <w:ilvl w:val="0"/>
          <w:numId w:val="4"/>
        </w:numPr>
        <w:jc w:val="both"/>
      </w:pPr>
      <w:r w:rsidRPr="007032D0">
        <w:rPr>
          <w:b/>
          <w:bCs/>
        </w:rPr>
        <w:t xml:space="preserve">F&amp;A Recoveries </w:t>
      </w:r>
    </w:p>
    <w:p w14:paraId="21FBC99E" w14:textId="42F9F44A" w:rsidR="00F54821" w:rsidRPr="007032D0" w:rsidRDefault="00F54821" w:rsidP="00F54821">
      <w:pPr>
        <w:pStyle w:val="Default"/>
        <w:spacing w:after="120"/>
        <w:ind w:left="720"/>
        <w:jc w:val="both"/>
      </w:pPr>
      <w:r w:rsidRPr="007032D0">
        <w:t xml:space="preserve">The use of NCPA resources in this scenario is highly variable, thus the split of F&amp;A will be negotiated on a case-by-case basis. </w:t>
      </w:r>
    </w:p>
    <w:p w14:paraId="36969352" w14:textId="77777777" w:rsidR="00F54821" w:rsidRPr="007032D0" w:rsidRDefault="00F54821" w:rsidP="007032D0">
      <w:pPr>
        <w:pStyle w:val="Default"/>
        <w:numPr>
          <w:ilvl w:val="0"/>
          <w:numId w:val="4"/>
        </w:numPr>
        <w:jc w:val="both"/>
      </w:pPr>
      <w:r w:rsidRPr="007032D0">
        <w:rPr>
          <w:b/>
          <w:bCs/>
        </w:rPr>
        <w:t xml:space="preserve">Level of Effort </w:t>
      </w:r>
    </w:p>
    <w:p w14:paraId="2BF59F3E" w14:textId="2D15C0EA" w:rsidR="00F54821" w:rsidRPr="007032D0" w:rsidRDefault="00F54821" w:rsidP="00F54821">
      <w:pPr>
        <w:pStyle w:val="Default"/>
        <w:spacing w:after="120"/>
        <w:ind w:left="720"/>
        <w:jc w:val="both"/>
      </w:pPr>
      <w:r w:rsidRPr="007032D0">
        <w:t xml:space="preserve">The NCPA researcher will be expected to maintain an active externally funded research program located at the NCPA. They will also be expected to contribute some service to the NCPA in the form of serving on the Executive Committee, periodically be available during VIP tours of the NCPA, participation in committees with a targeted purpose, etc. </w:t>
      </w:r>
    </w:p>
    <w:p w14:paraId="60CC0495" w14:textId="77777777" w:rsidR="00F54821" w:rsidRPr="007032D0" w:rsidRDefault="00F54821" w:rsidP="007032D0">
      <w:pPr>
        <w:pStyle w:val="Default"/>
        <w:numPr>
          <w:ilvl w:val="0"/>
          <w:numId w:val="4"/>
        </w:numPr>
        <w:jc w:val="both"/>
      </w:pPr>
      <w:r w:rsidRPr="007032D0">
        <w:rPr>
          <w:b/>
          <w:bCs/>
        </w:rPr>
        <w:t xml:space="preserve">Tenure and Promotion </w:t>
      </w:r>
    </w:p>
    <w:p w14:paraId="0155090F" w14:textId="46799623" w:rsidR="00F54821" w:rsidRDefault="00F54821" w:rsidP="00F54821">
      <w:pPr>
        <w:pStyle w:val="Default"/>
        <w:spacing w:after="120"/>
        <w:ind w:left="720"/>
        <w:jc w:val="both"/>
      </w:pPr>
      <w:r w:rsidRPr="007032D0">
        <w:t xml:space="preserve">NCPA is not a tenure granting organization. The faculty member will still be eligible for promotion within the NCPA rank structure. </w:t>
      </w:r>
    </w:p>
    <w:p w14:paraId="4E6AEEFE" w14:textId="74D63A53" w:rsidR="00F54821" w:rsidRPr="007032D0" w:rsidRDefault="00F54821" w:rsidP="00396BA8">
      <w:pPr>
        <w:pStyle w:val="Default"/>
        <w:numPr>
          <w:ilvl w:val="0"/>
          <w:numId w:val="4"/>
        </w:numPr>
        <w:spacing w:after="10"/>
        <w:jc w:val="both"/>
      </w:pPr>
      <w:r w:rsidRPr="00396BA8">
        <w:rPr>
          <w:b/>
          <w:bCs/>
        </w:rPr>
        <w:t xml:space="preserve">Annual Evaluations </w:t>
      </w:r>
    </w:p>
    <w:p w14:paraId="26C32D29" w14:textId="0DD8BA2C" w:rsidR="00F54821" w:rsidRPr="007032D0" w:rsidRDefault="00F54821" w:rsidP="00F54821">
      <w:pPr>
        <w:pStyle w:val="Default"/>
        <w:spacing w:after="10"/>
        <w:ind w:left="720"/>
        <w:jc w:val="both"/>
      </w:pPr>
      <w:r w:rsidRPr="007032D0">
        <w:t xml:space="preserve">Annual evaluations shall be the responsibility of the NCPA administration. </w:t>
      </w:r>
    </w:p>
    <w:p w14:paraId="007F1E99" w14:textId="77777777" w:rsidR="007032D0" w:rsidRPr="007032D0" w:rsidRDefault="007032D0" w:rsidP="00F54821">
      <w:pPr>
        <w:pStyle w:val="Default"/>
        <w:jc w:val="both"/>
      </w:pPr>
    </w:p>
    <w:p w14:paraId="13891255" w14:textId="40A97494" w:rsidR="00F54821" w:rsidRPr="007032D0" w:rsidRDefault="00F54821" w:rsidP="007032D0">
      <w:pPr>
        <w:pStyle w:val="Default"/>
        <w:numPr>
          <w:ilvl w:val="0"/>
          <w:numId w:val="1"/>
        </w:numPr>
        <w:tabs>
          <w:tab w:val="left" w:pos="360"/>
        </w:tabs>
        <w:ind w:left="360"/>
        <w:jc w:val="both"/>
        <w:rPr>
          <w:b/>
          <w:bCs/>
        </w:rPr>
      </w:pPr>
      <w:r w:rsidRPr="007032D0">
        <w:rPr>
          <w:b/>
          <w:bCs/>
        </w:rPr>
        <w:t xml:space="preserve">Other </w:t>
      </w:r>
      <w:r w:rsidR="007032D0" w:rsidRPr="007032D0">
        <w:rPr>
          <w:b/>
          <w:bCs/>
        </w:rPr>
        <w:t>I</w:t>
      </w:r>
      <w:r w:rsidRPr="007032D0">
        <w:rPr>
          <w:b/>
          <w:bCs/>
        </w:rPr>
        <w:t xml:space="preserve">ssues </w:t>
      </w:r>
    </w:p>
    <w:p w14:paraId="3BED7CB3" w14:textId="77777777" w:rsidR="007032D0" w:rsidRPr="007032D0" w:rsidRDefault="007032D0" w:rsidP="007032D0">
      <w:pPr>
        <w:pStyle w:val="Default"/>
        <w:tabs>
          <w:tab w:val="left" w:pos="360"/>
        </w:tabs>
        <w:ind w:left="720"/>
        <w:jc w:val="both"/>
      </w:pPr>
    </w:p>
    <w:p w14:paraId="2D56EBFC" w14:textId="77777777" w:rsidR="007032D0" w:rsidRPr="007032D0" w:rsidRDefault="00F54821" w:rsidP="007032D0">
      <w:pPr>
        <w:pStyle w:val="Default"/>
        <w:numPr>
          <w:ilvl w:val="0"/>
          <w:numId w:val="5"/>
        </w:numPr>
        <w:spacing w:after="10"/>
        <w:jc w:val="both"/>
      </w:pPr>
      <w:r w:rsidRPr="007032D0">
        <w:rPr>
          <w:b/>
          <w:bCs/>
        </w:rPr>
        <w:t xml:space="preserve">Ending a Joint Appointment </w:t>
      </w:r>
    </w:p>
    <w:p w14:paraId="1390C2CC" w14:textId="77777777" w:rsidR="007032D0" w:rsidRPr="007032D0" w:rsidRDefault="00F54821" w:rsidP="007032D0">
      <w:pPr>
        <w:pStyle w:val="Default"/>
        <w:spacing w:after="120"/>
        <w:ind w:left="720"/>
        <w:jc w:val="both"/>
      </w:pPr>
      <w:r w:rsidRPr="007032D0">
        <w:t xml:space="preserve">If the originally agreed upon expectations for a JA are not being met, the NCPA leadership has the right to dissolve the JA. Prior to this decision, the NCPA Director will work with the joint appointee and Dept. Chair / Dean to discuss the problems and seek a remedy. </w:t>
      </w:r>
    </w:p>
    <w:p w14:paraId="2BC76ED5" w14:textId="77777777" w:rsidR="007032D0" w:rsidRPr="007032D0" w:rsidRDefault="00F54821" w:rsidP="007032D0">
      <w:pPr>
        <w:pStyle w:val="Default"/>
        <w:numPr>
          <w:ilvl w:val="0"/>
          <w:numId w:val="5"/>
        </w:numPr>
        <w:spacing w:after="10"/>
        <w:jc w:val="both"/>
      </w:pPr>
      <w:r w:rsidRPr="007032D0">
        <w:rPr>
          <w:b/>
          <w:bCs/>
        </w:rPr>
        <w:t xml:space="preserve">Overhead accounts for faculty departing UM </w:t>
      </w:r>
    </w:p>
    <w:p w14:paraId="3A924220" w14:textId="77777777" w:rsidR="007032D0" w:rsidRPr="007032D0" w:rsidRDefault="00F54821" w:rsidP="007032D0">
      <w:pPr>
        <w:pStyle w:val="Default"/>
        <w:spacing w:after="120"/>
        <w:ind w:left="720"/>
        <w:jc w:val="both"/>
      </w:pPr>
      <w:r w:rsidRPr="007032D0">
        <w:t xml:space="preserve">Control of remaining overhead accounts will go to the unit in which the faculty or researcher has their primary appointment. </w:t>
      </w:r>
    </w:p>
    <w:p w14:paraId="6A180998" w14:textId="77777777" w:rsidR="007032D0" w:rsidRPr="007032D0" w:rsidRDefault="00F54821" w:rsidP="007032D0">
      <w:pPr>
        <w:pStyle w:val="Default"/>
        <w:numPr>
          <w:ilvl w:val="0"/>
          <w:numId w:val="5"/>
        </w:numPr>
        <w:spacing w:after="10"/>
        <w:jc w:val="both"/>
      </w:pPr>
      <w:r w:rsidRPr="007032D0">
        <w:rPr>
          <w:b/>
          <w:bCs/>
        </w:rPr>
        <w:t xml:space="preserve">Membership in the NCPA Community </w:t>
      </w:r>
    </w:p>
    <w:p w14:paraId="37F507A6" w14:textId="66085E56" w:rsidR="00F54821" w:rsidRPr="007032D0" w:rsidRDefault="00F54821" w:rsidP="009769D5">
      <w:pPr>
        <w:pStyle w:val="Default"/>
        <w:ind w:left="720"/>
        <w:jc w:val="both"/>
      </w:pPr>
      <w:r w:rsidRPr="007032D0">
        <w:t xml:space="preserve">JAs will be invited to all NCPA-wide social events, meetings, seminars, retreats, etc. </w:t>
      </w:r>
    </w:p>
    <w:p w14:paraId="089636D6" w14:textId="0175A6C9" w:rsidR="00F54821" w:rsidRPr="007032D0" w:rsidRDefault="00F54821" w:rsidP="00F54821">
      <w:pPr>
        <w:pStyle w:val="Default"/>
        <w:jc w:val="both"/>
      </w:pPr>
    </w:p>
    <w:p w14:paraId="0E397BEB" w14:textId="77777777" w:rsidR="00F54821" w:rsidRPr="007032D0" w:rsidRDefault="00F54821" w:rsidP="00F54821">
      <w:pPr>
        <w:pStyle w:val="Default"/>
        <w:jc w:val="both"/>
      </w:pPr>
    </w:p>
    <w:p w14:paraId="4E53A250" w14:textId="7C97BB8C" w:rsidR="00F54821" w:rsidRPr="007032D0" w:rsidRDefault="00F54821" w:rsidP="007032D0">
      <w:pPr>
        <w:pStyle w:val="Default"/>
        <w:numPr>
          <w:ilvl w:val="0"/>
          <w:numId w:val="1"/>
        </w:numPr>
        <w:tabs>
          <w:tab w:val="left" w:pos="360"/>
        </w:tabs>
        <w:ind w:left="360"/>
        <w:jc w:val="both"/>
        <w:rPr>
          <w:b/>
          <w:bCs/>
        </w:rPr>
      </w:pPr>
      <w:r w:rsidRPr="007032D0">
        <w:rPr>
          <w:b/>
          <w:bCs/>
        </w:rPr>
        <w:t xml:space="preserve">Required Signatures </w:t>
      </w:r>
    </w:p>
    <w:p w14:paraId="62A2049C" w14:textId="77777777" w:rsidR="007032D0" w:rsidRPr="007032D0" w:rsidRDefault="007032D0" w:rsidP="007032D0">
      <w:pPr>
        <w:pStyle w:val="Default"/>
        <w:tabs>
          <w:tab w:val="left" w:pos="360"/>
        </w:tabs>
        <w:jc w:val="both"/>
      </w:pPr>
    </w:p>
    <w:p w14:paraId="7986BCE3" w14:textId="21C70013" w:rsidR="00F54821" w:rsidRPr="007032D0" w:rsidRDefault="00F54821" w:rsidP="007032D0">
      <w:pPr>
        <w:pStyle w:val="Default"/>
        <w:numPr>
          <w:ilvl w:val="0"/>
          <w:numId w:val="6"/>
        </w:numPr>
        <w:spacing w:after="13"/>
        <w:jc w:val="both"/>
      </w:pPr>
      <w:r w:rsidRPr="007032D0">
        <w:t xml:space="preserve">Director, NCPA </w:t>
      </w:r>
    </w:p>
    <w:p w14:paraId="41094AE6" w14:textId="3617C612" w:rsidR="00F54821" w:rsidRPr="007032D0" w:rsidRDefault="00F54821" w:rsidP="007032D0">
      <w:pPr>
        <w:pStyle w:val="Default"/>
        <w:numPr>
          <w:ilvl w:val="0"/>
          <w:numId w:val="6"/>
        </w:numPr>
        <w:spacing w:after="13"/>
        <w:jc w:val="both"/>
      </w:pPr>
      <w:r w:rsidRPr="007032D0">
        <w:t xml:space="preserve">Dept. Chair / Director of Partner UM Unit </w:t>
      </w:r>
    </w:p>
    <w:p w14:paraId="1C8B2BE7" w14:textId="27874F26" w:rsidR="00F54821" w:rsidRPr="007032D0" w:rsidRDefault="00F54821" w:rsidP="007032D0">
      <w:pPr>
        <w:pStyle w:val="Default"/>
        <w:numPr>
          <w:ilvl w:val="0"/>
          <w:numId w:val="6"/>
        </w:numPr>
        <w:spacing w:after="13"/>
        <w:jc w:val="both"/>
      </w:pPr>
      <w:r w:rsidRPr="007032D0">
        <w:t xml:space="preserve">Dean of Partner Unit </w:t>
      </w:r>
    </w:p>
    <w:p w14:paraId="2220084C" w14:textId="2922F3EA" w:rsidR="00F54821" w:rsidRPr="007032D0" w:rsidRDefault="00F54821" w:rsidP="007032D0">
      <w:pPr>
        <w:pStyle w:val="Default"/>
        <w:numPr>
          <w:ilvl w:val="0"/>
          <w:numId w:val="6"/>
        </w:numPr>
        <w:spacing w:after="13"/>
        <w:jc w:val="both"/>
      </w:pPr>
      <w:r w:rsidRPr="007032D0">
        <w:t xml:space="preserve">Vice Chancellor of Research and Sponsored Programs </w:t>
      </w:r>
    </w:p>
    <w:p w14:paraId="41EB1B1C" w14:textId="260520B1" w:rsidR="00F54821" w:rsidRPr="007032D0" w:rsidRDefault="00F54821" w:rsidP="007032D0">
      <w:pPr>
        <w:pStyle w:val="Default"/>
        <w:numPr>
          <w:ilvl w:val="0"/>
          <w:numId w:val="6"/>
        </w:numPr>
        <w:jc w:val="both"/>
      </w:pPr>
      <w:r w:rsidRPr="007032D0">
        <w:t xml:space="preserve">Provost </w:t>
      </w:r>
    </w:p>
    <w:p w14:paraId="198C1CE7" w14:textId="77777777" w:rsidR="00F54821" w:rsidRPr="007032D0" w:rsidRDefault="00F54821" w:rsidP="00F54821">
      <w:pPr>
        <w:pStyle w:val="Default"/>
        <w:jc w:val="both"/>
      </w:pPr>
    </w:p>
    <w:sectPr w:rsidR="00F54821" w:rsidRPr="007032D0" w:rsidSect="00CE60A6">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432"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943D7" w14:textId="77777777" w:rsidR="00A32BB9" w:rsidRDefault="00A32BB9" w:rsidP="00907EF6">
      <w:r>
        <w:separator/>
      </w:r>
    </w:p>
  </w:endnote>
  <w:endnote w:type="continuationSeparator" w:id="0">
    <w:p w14:paraId="6B1A94FE" w14:textId="77777777" w:rsidR="00A32BB9" w:rsidRDefault="00A32BB9" w:rsidP="00907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altName w:val="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759F2" w14:textId="77777777" w:rsidR="0055231C" w:rsidRDefault="0055231C" w:rsidP="00D236C3">
    <w:pPr>
      <w:pStyle w:val="Footer"/>
      <w:tabs>
        <w:tab w:val="clear" w:pos="4320"/>
        <w:tab w:val="clear" w:pos="8640"/>
        <w:tab w:val="center" w:pos="5040"/>
        <w:tab w:val="right" w:pos="10080"/>
      </w:tabs>
    </w:pPr>
    <w:r>
      <w:t>[Type text]</w:t>
    </w:r>
    <w:r>
      <w:tab/>
      <w:t>[Type text]</w:t>
    </w:r>
    <w:r>
      <w:tab/>
      <w:t>[Type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01C58" w14:textId="77777777" w:rsidR="0055231C" w:rsidRPr="00B4711F" w:rsidRDefault="0055231C" w:rsidP="006B2E0C">
    <w:pPr>
      <w:pStyle w:val="Footer"/>
      <w:tabs>
        <w:tab w:val="clear" w:pos="4320"/>
        <w:tab w:val="clear" w:pos="8640"/>
      </w:tabs>
      <w:jc w:val="center"/>
      <w:rPr>
        <w:rFonts w:ascii="Georgia" w:hAnsi="Georgia"/>
        <w:smallCaps/>
        <w:color w:val="162B48"/>
        <w:sz w:val="20"/>
        <w:szCs w:val="20"/>
      </w:rPr>
    </w:pPr>
  </w:p>
  <w:p w14:paraId="463C5ECB" w14:textId="77777777" w:rsidR="00485D2C" w:rsidRDefault="00863ABB" w:rsidP="00485D2C">
    <w:pPr>
      <w:pStyle w:val="BasicParagraph"/>
      <w:spacing w:before="140"/>
      <w:jc w:val="center"/>
      <w:rPr>
        <w:rFonts w:ascii="Georgia" w:hAnsi="Georgia" w:cs="Georgia"/>
        <w:color w:val="00235D"/>
        <w:sz w:val="18"/>
        <w:szCs w:val="18"/>
      </w:rPr>
    </w:pPr>
    <w:r>
      <w:rPr>
        <w:noProof/>
      </w:rPr>
      <mc:AlternateContent>
        <mc:Choice Requires="wps">
          <w:drawing>
            <wp:anchor distT="4294967295" distB="4294967295" distL="114300" distR="114300" simplePos="0" relativeHeight="251656704" behindDoc="1" locked="0" layoutInCell="1" allowOverlap="1" wp14:anchorId="3C8EF07D" wp14:editId="52ACC89F">
              <wp:simplePos x="0" y="0"/>
              <wp:positionH relativeFrom="page">
                <wp:posOffset>685800</wp:posOffset>
              </wp:positionH>
              <wp:positionV relativeFrom="paragraph">
                <wp:posOffset>-1271</wp:posOffset>
              </wp:positionV>
              <wp:extent cx="6400800" cy="0"/>
              <wp:effectExtent l="0" t="0" r="25400" b="254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0"/>
                      </a:xfrm>
                      <a:prstGeom prst="line">
                        <a:avLst/>
                      </a:prstGeom>
                      <a:noFill/>
                      <a:ln w="9525" cap="flat" cmpd="sng" algn="ctr">
                        <a:solidFill>
                          <a:srgbClr val="001C63"/>
                        </a:solidFill>
                        <a:prstDash val="solid"/>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wps:wsp>
                </a:graphicData>
              </a:graphic>
              <wp14:sizeRelH relativeFrom="margin">
                <wp14:pctWidth>0</wp14:pctWidth>
              </wp14:sizeRelH>
              <wp14:sizeRelV relativeFrom="margin">
                <wp14:pctHeight>0</wp14:pctHeight>
              </wp14:sizeRelV>
            </wp:anchor>
          </w:drawing>
        </mc:Choice>
        <mc:Fallback>
          <w:pict>
            <v:line w14:anchorId="156A4687" id="Straight Connector 3" o:spid="_x0000_s1026" style="position:absolute;z-index:-251659776;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margin" from="54pt,-.1pt" to="55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" strokecolor="#001c63">
              <o:lock v:ext="edit" shapetype="f"/>
              <w10:wrap anchorx="page"/>
            </v:line>
          </w:pict>
        </mc:Fallback>
      </mc:AlternateContent>
    </w:r>
    <w:r w:rsidR="00797DD9">
      <w:rPr>
        <w:rFonts w:ascii="Georgia" w:hAnsi="Georgia" w:cs="Georgia"/>
        <w:color w:val="00235D"/>
        <w:sz w:val="18"/>
        <w:szCs w:val="18"/>
      </w:rPr>
      <w:t>145 Hill Drive</w:t>
    </w:r>
  </w:p>
  <w:p w14:paraId="150D7148" w14:textId="77777777" w:rsidR="00485D2C" w:rsidRDefault="00485D2C" w:rsidP="00485D2C">
    <w:pPr>
      <w:pStyle w:val="BasicParagraph"/>
      <w:jc w:val="center"/>
      <w:rPr>
        <w:rFonts w:ascii="Georgia" w:hAnsi="Georgia" w:cs="Georgia"/>
        <w:color w:val="00235D"/>
        <w:sz w:val="18"/>
        <w:szCs w:val="18"/>
      </w:rPr>
    </w:pPr>
    <w:r>
      <w:rPr>
        <w:rFonts w:ascii="Georgia" w:hAnsi="Georgia" w:cs="Georgia"/>
        <w:color w:val="00235D"/>
        <w:sz w:val="18"/>
        <w:szCs w:val="18"/>
      </w:rPr>
      <w:t>P.O. Box 1848 | University, MS 38677-1848</w:t>
    </w:r>
  </w:p>
  <w:p w14:paraId="3FBFA156" w14:textId="7726A5A4" w:rsidR="0055231C" w:rsidRDefault="00485D2C" w:rsidP="00485D2C">
    <w:pPr>
      <w:pStyle w:val="Footer"/>
      <w:tabs>
        <w:tab w:val="clear" w:pos="4320"/>
        <w:tab w:val="clear" w:pos="8640"/>
      </w:tabs>
      <w:spacing w:before="40"/>
      <w:jc w:val="center"/>
      <w:rPr>
        <w:rFonts w:ascii="Georgia" w:hAnsi="Georgia" w:cs="Georgia"/>
        <w:color w:val="00235D"/>
        <w:sz w:val="18"/>
        <w:szCs w:val="18"/>
      </w:rPr>
    </w:pPr>
    <w:r>
      <w:rPr>
        <w:rFonts w:ascii="Georgia" w:hAnsi="Georgia" w:cs="Georgia"/>
        <w:color w:val="00235D"/>
        <w:sz w:val="18"/>
        <w:szCs w:val="18"/>
      </w:rPr>
      <w:t>(662) 915-5889 | Fax: (662) 915-7494 | ncpa.olemiss.edu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3865"/>
    </w:tblGrid>
    <w:tr w:rsidR="00396BA8" w:rsidRPr="00396BA8" w14:paraId="3C8BABB0" w14:textId="77777777" w:rsidTr="00396BA8">
      <w:tc>
        <w:tcPr>
          <w:tcW w:w="5485" w:type="dxa"/>
        </w:tcPr>
        <w:p w14:paraId="7ECEE5FE" w14:textId="29A299BE" w:rsidR="00396BA8" w:rsidRPr="009769D5" w:rsidRDefault="00C6796F" w:rsidP="00396BA8">
          <w:pPr>
            <w:pStyle w:val="Footer"/>
            <w:tabs>
              <w:tab w:val="clear" w:pos="4320"/>
              <w:tab w:val="clear" w:pos="8640"/>
            </w:tabs>
            <w:spacing w:before="40"/>
            <w:rPr>
              <w:rFonts w:asciiTheme="minorHAnsi" w:hAnsiTheme="minorHAnsi"/>
              <w:color w:val="162B48"/>
              <w:sz w:val="20"/>
              <w:szCs w:val="16"/>
            </w:rPr>
          </w:pPr>
          <w:r w:rsidRPr="00C6796F">
            <w:rPr>
              <w:rFonts w:asciiTheme="minorHAnsi" w:hAnsiTheme="minorHAnsi"/>
              <w:color w:val="162B48"/>
              <w:sz w:val="20"/>
              <w:szCs w:val="16"/>
            </w:rPr>
            <w:t xml:space="preserve">Page | </w:t>
          </w:r>
          <w:r w:rsidRPr="00C6796F">
            <w:rPr>
              <w:rFonts w:asciiTheme="minorHAnsi" w:hAnsiTheme="minorHAnsi"/>
              <w:color w:val="162B48"/>
              <w:sz w:val="20"/>
              <w:szCs w:val="16"/>
            </w:rPr>
            <w:fldChar w:fldCharType="begin"/>
          </w:r>
          <w:r w:rsidRPr="00C6796F">
            <w:rPr>
              <w:rFonts w:asciiTheme="minorHAnsi" w:hAnsiTheme="minorHAnsi"/>
              <w:color w:val="162B48"/>
              <w:sz w:val="20"/>
              <w:szCs w:val="16"/>
            </w:rPr>
            <w:instrText xml:space="preserve"> PAGE   \* MERGEFORMAT </w:instrText>
          </w:r>
          <w:r w:rsidRPr="00C6796F">
            <w:rPr>
              <w:rFonts w:asciiTheme="minorHAnsi" w:hAnsiTheme="minorHAnsi"/>
              <w:color w:val="162B48"/>
              <w:sz w:val="20"/>
              <w:szCs w:val="16"/>
            </w:rPr>
            <w:fldChar w:fldCharType="separate"/>
          </w:r>
          <w:r w:rsidRPr="00C6796F">
            <w:rPr>
              <w:rFonts w:asciiTheme="minorHAnsi" w:hAnsiTheme="minorHAnsi"/>
              <w:noProof/>
              <w:color w:val="162B48"/>
              <w:sz w:val="20"/>
              <w:szCs w:val="16"/>
            </w:rPr>
            <w:t>1</w:t>
          </w:r>
          <w:r w:rsidRPr="00C6796F">
            <w:rPr>
              <w:rFonts w:asciiTheme="minorHAnsi" w:hAnsiTheme="minorHAnsi"/>
              <w:noProof/>
              <w:color w:val="162B48"/>
              <w:sz w:val="20"/>
              <w:szCs w:val="16"/>
            </w:rPr>
            <w:fldChar w:fldCharType="end"/>
          </w:r>
        </w:p>
      </w:tc>
      <w:tc>
        <w:tcPr>
          <w:tcW w:w="3865" w:type="dxa"/>
        </w:tcPr>
        <w:p w14:paraId="625A4811" w14:textId="55464DE9" w:rsidR="00396BA8" w:rsidRPr="00396BA8" w:rsidRDefault="00396BA8" w:rsidP="00396BA8">
          <w:pPr>
            <w:pStyle w:val="Footer"/>
            <w:tabs>
              <w:tab w:val="clear" w:pos="4320"/>
              <w:tab w:val="clear" w:pos="8640"/>
            </w:tabs>
            <w:spacing w:before="40"/>
            <w:jc w:val="right"/>
            <w:rPr>
              <w:rFonts w:asciiTheme="minorHAnsi" w:hAnsiTheme="minorHAnsi"/>
              <w:color w:val="162B48"/>
              <w:sz w:val="20"/>
              <w:szCs w:val="20"/>
            </w:rPr>
          </w:pPr>
          <w:r w:rsidRPr="00396BA8">
            <w:rPr>
              <w:rFonts w:asciiTheme="minorHAnsi" w:hAnsiTheme="minorHAnsi"/>
              <w:sz w:val="20"/>
              <w:szCs w:val="20"/>
            </w:rPr>
            <w:t>2013-12-31</w:t>
          </w:r>
        </w:p>
      </w:tc>
    </w:tr>
  </w:tbl>
  <w:p w14:paraId="2E2D9D07" w14:textId="77777777" w:rsidR="009769D5" w:rsidRPr="009769D5" w:rsidRDefault="009769D5" w:rsidP="009769D5">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29997" w14:textId="77777777" w:rsidR="00066E8B" w:rsidRDefault="00066E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15687" w14:textId="77777777" w:rsidR="00A32BB9" w:rsidRDefault="00A32BB9" w:rsidP="00907EF6">
      <w:r>
        <w:separator/>
      </w:r>
    </w:p>
  </w:footnote>
  <w:footnote w:type="continuationSeparator" w:id="0">
    <w:p w14:paraId="3DDFD0BD" w14:textId="77777777" w:rsidR="00A32BB9" w:rsidRDefault="00A32BB9" w:rsidP="00907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4385C" w14:textId="77777777" w:rsidR="00066E8B" w:rsidRDefault="00066E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E60A6" w14:paraId="100ABB8A" w14:textId="77777777" w:rsidTr="00CE60A6">
      <w:tc>
        <w:tcPr>
          <w:tcW w:w="9350" w:type="dxa"/>
        </w:tcPr>
        <w:p w14:paraId="53B98AB2" w14:textId="008E5FAC" w:rsidR="00CE60A6" w:rsidRDefault="00CE60A6" w:rsidP="00CE60A6">
          <w:pPr>
            <w:pStyle w:val="Header"/>
            <w:jc w:val="right"/>
          </w:pPr>
          <w:r w:rsidRPr="00396BA8">
            <w:rPr>
              <w:rFonts w:asciiTheme="minorHAnsi" w:hAnsiTheme="minorHAnsi"/>
              <w:color w:val="162B48"/>
              <w:sz w:val="20"/>
              <w:szCs w:val="20"/>
            </w:rPr>
            <w:t>NCPA.ADM.POL.2013-12-31_Joint_Appointment_Guidelines</w:t>
          </w:r>
        </w:p>
      </w:tc>
    </w:tr>
    <w:tr w:rsidR="00CE60A6" w14:paraId="59CE6728" w14:textId="77777777" w:rsidTr="00CE60A6">
      <w:tc>
        <w:tcPr>
          <w:tcW w:w="9350" w:type="dxa"/>
        </w:tcPr>
        <w:p w14:paraId="621EFCA0" w14:textId="77777777" w:rsidR="00CE60A6" w:rsidRPr="00396BA8" w:rsidRDefault="00CE60A6" w:rsidP="00CE60A6">
          <w:pPr>
            <w:pStyle w:val="Header"/>
            <w:jc w:val="right"/>
            <w:rPr>
              <w:rFonts w:asciiTheme="minorHAnsi" w:hAnsiTheme="minorHAnsi"/>
              <w:color w:val="162B48"/>
              <w:sz w:val="20"/>
              <w:szCs w:val="20"/>
            </w:rPr>
          </w:pPr>
        </w:p>
      </w:tc>
    </w:tr>
    <w:tr w:rsidR="00CE60A6" w14:paraId="5E7BC19A" w14:textId="77777777" w:rsidTr="00CE60A6">
      <w:tc>
        <w:tcPr>
          <w:tcW w:w="9350" w:type="dxa"/>
        </w:tcPr>
        <w:p w14:paraId="4087F1F5" w14:textId="77777777" w:rsidR="00CE60A6" w:rsidRDefault="00CE60A6" w:rsidP="00CE60A6">
          <w:pPr>
            <w:pStyle w:val="BasicParagraph"/>
            <w:spacing w:before="100"/>
            <w:jc w:val="center"/>
          </w:pPr>
        </w:p>
        <w:p w14:paraId="3031A261" w14:textId="77777777" w:rsidR="00CE60A6" w:rsidRDefault="00CE60A6" w:rsidP="00CE60A6">
          <w:pPr>
            <w:pStyle w:val="BasicParagraph"/>
            <w:spacing w:before="100"/>
            <w:jc w:val="center"/>
          </w:pPr>
        </w:p>
        <w:p w14:paraId="5EBFB481" w14:textId="77777777" w:rsidR="00CE60A6" w:rsidRDefault="00CE60A6" w:rsidP="00CE60A6">
          <w:pPr>
            <w:pStyle w:val="BasicParagraph"/>
            <w:spacing w:before="100"/>
            <w:jc w:val="center"/>
          </w:pPr>
        </w:p>
        <w:p w14:paraId="37EEC802" w14:textId="77D23581" w:rsidR="00CE60A6" w:rsidRDefault="00CE60A6" w:rsidP="00CE60A6">
          <w:pPr>
            <w:pStyle w:val="BasicParagraph"/>
            <w:spacing w:before="100"/>
            <w:jc w:val="center"/>
          </w:pPr>
          <w:r>
            <w:rPr>
              <w:rFonts w:ascii="Georgia" w:hAnsi="Georgia" w:cs="Georgia"/>
              <w:smallCaps/>
              <w:color w:val="00235D"/>
              <w:sz w:val="20"/>
              <w:szCs w:val="20"/>
            </w:rPr>
            <w:t>Jamie L. Whitten National Center for Physical Acoustics</w:t>
          </w:r>
          <w:r>
            <w:rPr>
              <w:rFonts w:hint="eastAsia"/>
              <w:noProof/>
            </w:rPr>
            <w:t xml:space="preserve"> </w:t>
          </w:r>
          <w:r>
            <w:rPr>
              <w:rFonts w:hint="eastAsia"/>
              <w:noProof/>
            </w:rPr>
            <w:drawing>
              <wp:anchor distT="0" distB="0" distL="114300" distR="114300" simplePos="0" relativeHeight="251659264" behindDoc="0" locked="0" layoutInCell="1" allowOverlap="1" wp14:anchorId="71E3813E" wp14:editId="46988965">
                <wp:simplePos x="0" y="0"/>
                <wp:positionH relativeFrom="page">
                  <wp:posOffset>2432050</wp:posOffset>
                </wp:positionH>
                <wp:positionV relativeFrom="page">
                  <wp:posOffset>9296</wp:posOffset>
                </wp:positionV>
                <wp:extent cx="1066800" cy="825500"/>
                <wp:effectExtent l="0" t="0" r="0" b="12700"/>
                <wp:wrapThrough wrapText="bothSides">
                  <wp:wrapPolygon edited="0">
                    <wp:start x="7714" y="0"/>
                    <wp:lineTo x="5657" y="3323"/>
                    <wp:lineTo x="4629" y="6646"/>
                    <wp:lineTo x="5143" y="10634"/>
                    <wp:lineTo x="0" y="17945"/>
                    <wp:lineTo x="0" y="21268"/>
                    <wp:lineTo x="21086" y="21268"/>
                    <wp:lineTo x="21086" y="17945"/>
                    <wp:lineTo x="15943" y="10634"/>
                    <wp:lineTo x="16457" y="7975"/>
                    <wp:lineTo x="14914" y="1329"/>
                    <wp:lineTo x="12857" y="0"/>
                    <wp:lineTo x="7714"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825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38D3BA98" wp14:editId="529A84F9">
                    <wp:simplePos x="0" y="0"/>
                    <wp:positionH relativeFrom="column">
                      <wp:align>center</wp:align>
                    </wp:positionH>
                    <wp:positionV relativeFrom="paragraph">
                      <wp:posOffset>0</wp:posOffset>
                    </wp:positionV>
                    <wp:extent cx="1143000" cy="0"/>
                    <wp:effectExtent l="12700" t="12700" r="25400" b="254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12700">
                              <a:solidFill>
                                <a:srgbClr val="162B48"/>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472726" id="Straight Connector 1" o:spid="_x0000_s1026" style="position:absolute;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0" to="9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" strokecolor="#162b48" strokeweight="1pt"/>
                </w:pict>
              </mc:Fallback>
            </mc:AlternateContent>
          </w:r>
        </w:p>
      </w:tc>
    </w:tr>
  </w:tbl>
  <w:p w14:paraId="22B96113" w14:textId="115C6CA7" w:rsidR="00485D2C" w:rsidRPr="00396BA8" w:rsidRDefault="00066E8B" w:rsidP="00066E8B">
    <w:pPr>
      <w:pStyle w:val="Header"/>
      <w:tabs>
        <w:tab w:val="clear" w:pos="4320"/>
        <w:tab w:val="clear" w:pos="8640"/>
        <w:tab w:val="left" w:pos="7177"/>
      </w:tabs>
    </w:pPr>
    <w:r>
      <w:tab/>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B20BE" w14:textId="77777777" w:rsidR="00066E8B" w:rsidRDefault="00066E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26973"/>
    <w:multiLevelType w:val="hybridMultilevel"/>
    <w:tmpl w:val="53D2FD42"/>
    <w:lvl w:ilvl="0" w:tplc="EFB0F4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76D0E"/>
    <w:multiLevelType w:val="hybridMultilevel"/>
    <w:tmpl w:val="FF16903E"/>
    <w:lvl w:ilvl="0" w:tplc="4800868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6D5E6A"/>
    <w:multiLevelType w:val="hybridMultilevel"/>
    <w:tmpl w:val="2B42E2C8"/>
    <w:lvl w:ilvl="0" w:tplc="D704317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F2F06"/>
    <w:multiLevelType w:val="hybridMultilevel"/>
    <w:tmpl w:val="53B47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C6448B"/>
    <w:multiLevelType w:val="hybridMultilevel"/>
    <w:tmpl w:val="2E70D60E"/>
    <w:lvl w:ilvl="0" w:tplc="701C763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75B32"/>
    <w:multiLevelType w:val="hybridMultilevel"/>
    <w:tmpl w:val="6C9064BA"/>
    <w:lvl w:ilvl="0" w:tplc="9D3692C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162b4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2C"/>
    <w:rsid w:val="00000FAF"/>
    <w:rsid w:val="00066E8B"/>
    <w:rsid w:val="00076117"/>
    <w:rsid w:val="000F4271"/>
    <w:rsid w:val="00160B37"/>
    <w:rsid w:val="002C2FAD"/>
    <w:rsid w:val="00386DE5"/>
    <w:rsid w:val="00396BA8"/>
    <w:rsid w:val="00485D2C"/>
    <w:rsid w:val="00534EBA"/>
    <w:rsid w:val="0055231C"/>
    <w:rsid w:val="00593C6D"/>
    <w:rsid w:val="00634D1F"/>
    <w:rsid w:val="006B2E0C"/>
    <w:rsid w:val="006E646B"/>
    <w:rsid w:val="007032D0"/>
    <w:rsid w:val="00797DD9"/>
    <w:rsid w:val="00845090"/>
    <w:rsid w:val="00863ABB"/>
    <w:rsid w:val="00907EF6"/>
    <w:rsid w:val="009769D5"/>
    <w:rsid w:val="009E6EBB"/>
    <w:rsid w:val="00A32BB9"/>
    <w:rsid w:val="00A46F4C"/>
    <w:rsid w:val="00B1532A"/>
    <w:rsid w:val="00B4711F"/>
    <w:rsid w:val="00BA0B60"/>
    <w:rsid w:val="00C3496C"/>
    <w:rsid w:val="00C6796F"/>
    <w:rsid w:val="00C74234"/>
    <w:rsid w:val="00C876DE"/>
    <w:rsid w:val="00CD36EA"/>
    <w:rsid w:val="00CE5553"/>
    <w:rsid w:val="00CE60A6"/>
    <w:rsid w:val="00D141C7"/>
    <w:rsid w:val="00D14E79"/>
    <w:rsid w:val="00D236C3"/>
    <w:rsid w:val="00DF54E8"/>
    <w:rsid w:val="00E0351F"/>
    <w:rsid w:val="00E31CFC"/>
    <w:rsid w:val="00E40208"/>
    <w:rsid w:val="00EB6B3C"/>
    <w:rsid w:val="00F06568"/>
    <w:rsid w:val="00F54821"/>
    <w:rsid w:val="00F853F4"/>
    <w:rsid w:val="00FB06C2"/>
    <w:rsid w:val="00FB5E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162b48"/>
    </o:shapedefaults>
    <o:shapelayout v:ext="edit">
      <o:idmap v:ext="edit" data="1"/>
    </o:shapelayout>
  </w:shapeDefaults>
  <w:decimalSymbol w:val="."/>
  <w:listSeparator w:val=","/>
  <w14:docId w14:val="1A3C4935"/>
  <w15:docId w15:val="{B61A5F1A-3AF5-4C7C-BEF7-76EEC672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7EF6"/>
    <w:rPr>
      <w:rFonts w:ascii="Lucida Grande" w:hAnsi="Lucida Grande"/>
      <w:sz w:val="18"/>
      <w:szCs w:val="18"/>
    </w:rPr>
  </w:style>
  <w:style w:type="character" w:customStyle="1" w:styleId="BalloonTextChar">
    <w:name w:val="Balloon Text Char"/>
    <w:link w:val="BalloonText"/>
    <w:uiPriority w:val="99"/>
    <w:semiHidden/>
    <w:rsid w:val="00907EF6"/>
    <w:rPr>
      <w:rFonts w:ascii="Lucida Grande" w:hAnsi="Lucida Grande"/>
      <w:sz w:val="18"/>
      <w:szCs w:val="18"/>
    </w:rPr>
  </w:style>
  <w:style w:type="paragraph" w:styleId="Header">
    <w:name w:val="header"/>
    <w:basedOn w:val="Normal"/>
    <w:link w:val="HeaderChar"/>
    <w:uiPriority w:val="99"/>
    <w:unhideWhenUsed/>
    <w:rsid w:val="00907EF6"/>
    <w:pPr>
      <w:tabs>
        <w:tab w:val="center" w:pos="4320"/>
        <w:tab w:val="right" w:pos="8640"/>
      </w:tabs>
    </w:pPr>
  </w:style>
  <w:style w:type="character" w:customStyle="1" w:styleId="HeaderChar">
    <w:name w:val="Header Char"/>
    <w:basedOn w:val="DefaultParagraphFont"/>
    <w:link w:val="Header"/>
    <w:uiPriority w:val="99"/>
    <w:rsid w:val="00907EF6"/>
  </w:style>
  <w:style w:type="paragraph" w:styleId="Footer">
    <w:name w:val="footer"/>
    <w:basedOn w:val="Normal"/>
    <w:link w:val="FooterChar"/>
    <w:uiPriority w:val="99"/>
    <w:unhideWhenUsed/>
    <w:rsid w:val="00907EF6"/>
    <w:pPr>
      <w:tabs>
        <w:tab w:val="center" w:pos="4320"/>
        <w:tab w:val="right" w:pos="8640"/>
      </w:tabs>
    </w:pPr>
  </w:style>
  <w:style w:type="character" w:customStyle="1" w:styleId="FooterChar">
    <w:name w:val="Footer Char"/>
    <w:basedOn w:val="DefaultParagraphFont"/>
    <w:link w:val="Footer"/>
    <w:uiPriority w:val="99"/>
    <w:rsid w:val="00907EF6"/>
  </w:style>
  <w:style w:type="paragraph" w:customStyle="1" w:styleId="BasicParagraph">
    <w:name w:val="[Basic Paragraph]"/>
    <w:basedOn w:val="Normal"/>
    <w:uiPriority w:val="99"/>
    <w:rsid w:val="00485D2C"/>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Default">
    <w:name w:val="Default"/>
    <w:rsid w:val="00F54821"/>
    <w:pPr>
      <w:autoSpaceDE w:val="0"/>
      <w:autoSpaceDN w:val="0"/>
      <w:adjustRightInd w:val="0"/>
    </w:pPr>
    <w:rPr>
      <w:rFonts w:cs="Cambria"/>
      <w:color w:val="000000"/>
      <w:sz w:val="24"/>
      <w:szCs w:val="24"/>
    </w:rPr>
  </w:style>
  <w:style w:type="table" w:styleId="TableGrid">
    <w:name w:val="Table Grid"/>
    <w:basedOn w:val="TableNormal"/>
    <w:uiPriority w:val="59"/>
    <w:rsid w:val="00396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8C617-0FAE-428A-8EFE-9BAF4CB3F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Mississippi</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Edwards</dc:creator>
  <cp:keywords/>
  <dc:description/>
  <cp:lastModifiedBy>Debra Bos</cp:lastModifiedBy>
  <cp:revision>6</cp:revision>
  <cp:lastPrinted>2013-05-08T18:46:00Z</cp:lastPrinted>
  <dcterms:created xsi:type="dcterms:W3CDTF">2024-12-05T18:33:00Z</dcterms:created>
  <dcterms:modified xsi:type="dcterms:W3CDTF">2024-12-05T19:40:00Z</dcterms:modified>
</cp:coreProperties>
</file>