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B3E54" w14:textId="77777777" w:rsidR="000F299F" w:rsidRDefault="000F299F" w:rsidP="000F299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Описание разработанной схемы лингвистической базы данных</w:t>
      </w:r>
    </w:p>
    <w:p w14:paraId="225308A4" w14:textId="77777777" w:rsidR="000F299F" w:rsidRDefault="000F299F" w:rsidP="000F299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основе описанной выше логической структуры была разработана схема лингвистической базы данных. Ее описание по компонентам предоставлено дальше.</w:t>
      </w:r>
    </w:p>
    <w:p w14:paraId="667F332C" w14:textId="77777777" w:rsidR="000F299F" w:rsidRDefault="000F299F" w:rsidP="000F299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38DB16A5" w14:textId="77777777" w:rsidR="000F299F" w:rsidRDefault="000F299F" w:rsidP="000F299F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480094DA" w14:textId="77777777" w:rsidR="000F299F" w:rsidRDefault="000F299F" w:rsidP="000F299F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72A3EF52" wp14:editId="16211EA5">
            <wp:extent cx="5934710" cy="6464935"/>
            <wp:effectExtent l="0" t="0" r="8890" b="0"/>
            <wp:docPr id="6" name="Рисунок 6" descr="Схема М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commentReference w:id="0"/>
      </w:r>
    </w:p>
    <w:p w14:paraId="595B5206" w14:textId="77777777" w:rsidR="000F299F" w:rsidRDefault="000F299F" w:rsidP="000F299F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br w:type="page"/>
      </w:r>
    </w:p>
    <w:p w14:paraId="1F66A06D" w14:textId="77777777" w:rsidR="000F299F" w:rsidRDefault="000F299F" w:rsidP="000F299F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lastRenderedPageBreak/>
        <w:t>Описание таблиц МБД</w:t>
      </w:r>
    </w:p>
    <w:p w14:paraId="3F252CD2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«Слова»</w:t>
      </w:r>
    </w:p>
    <w:p w14:paraId="1035491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слова естественного языка (уникальные)</w:t>
      </w:r>
    </w:p>
    <w:p w14:paraId="67428253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«Слова»:</w:t>
      </w:r>
    </w:p>
    <w:p w14:paraId="7D8E8B1B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_слова – идентификатор конкретного слова (Тип данных: целое число);</w:t>
      </w:r>
    </w:p>
    <w:p w14:paraId="607B8CA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Слово – конкретное уникальное слово (Тип данных: строка переменного размера).</w:t>
      </w:r>
    </w:p>
    <w:p w14:paraId="7ED000FD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«Части речи»</w:t>
      </w:r>
    </w:p>
    <w:p w14:paraId="0CC2E2B3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частей речи.</w:t>
      </w:r>
    </w:p>
    <w:p w14:paraId="2B7F9903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«Части речи»:</w:t>
      </w:r>
    </w:p>
    <w:p w14:paraId="591DD37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6846721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Часть_речи – название части речи (Тип данных: строка переменного размера).</w:t>
      </w:r>
    </w:p>
    <w:p w14:paraId="7193D1D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«Подклассы частей речи»</w:t>
      </w:r>
    </w:p>
    <w:p w14:paraId="4EE61E1D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подклассов частей речи.</w:t>
      </w:r>
    </w:p>
    <w:p w14:paraId="6D1E25D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«Части речи»:</w:t>
      </w:r>
    </w:p>
    <w:p w14:paraId="389F5545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539704B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Подкласс_часть_речи – название подкласса части речи (Тип данных: строка переменного размера);</w:t>
      </w:r>
    </w:p>
    <w:p w14:paraId="639CD9B6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 – идентификатор части речи (Тип данных: целое число).</w:t>
      </w:r>
    </w:p>
    <w:p w14:paraId="1359174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5BDEB171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094A342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lastRenderedPageBreak/>
        <w:t>Поля таблицы «Лексемы»:</w:t>
      </w:r>
    </w:p>
    <w:p w14:paraId="7EBFE940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23642CB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55145B0B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«Части речи лексем»</w:t>
      </w:r>
    </w:p>
    <w:p w14:paraId="08F5AAC9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связи лексем с соответствующими им частями речи.</w:t>
      </w:r>
    </w:p>
    <w:p w14:paraId="53A5A92D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«Части речи лексем»:</w:t>
      </w:r>
    </w:p>
    <w:p w14:paraId="1557FA1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_части_речи_лексемы – идентификатор записи о связи лексемы с ее частью речи (Тип данных: целое число);</w:t>
      </w:r>
    </w:p>
    <w:p w14:paraId="6B231169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3B5FD20B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 (Тип данных: целое число).</w:t>
      </w:r>
    </w:p>
    <w:p w14:paraId="6609D539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«Подклассы частей речи лексем»</w:t>
      </w:r>
    </w:p>
    <w:p w14:paraId="2245D4C2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связи лексем с соответствующими им подклассами частямей речи.</w:t>
      </w:r>
    </w:p>
    <w:p w14:paraId="6BFFE34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«Части речи лексем»:</w:t>
      </w:r>
    </w:p>
    <w:p w14:paraId="52BEFB99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_подкласса_части_речи_лексемы – идентификатор записи о связи лексемы с ее поклассом частью речи (Тип данных: целое число);</w:t>
      </w:r>
    </w:p>
    <w:p w14:paraId="03C71080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 – идентификатор подкласса части речи (Тип данных: целое число);</w:t>
      </w:r>
    </w:p>
    <w:p w14:paraId="06D0B1E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строки таблицы «Части речи лексемы» (Тип данных: целое число).</w:t>
      </w:r>
    </w:p>
    <w:p w14:paraId="0F45B5A0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«Словоформы»</w:t>
      </w:r>
    </w:p>
    <w:p w14:paraId="0055724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связи слов с соответствующими им лексемами.</w:t>
      </w:r>
    </w:p>
    <w:p w14:paraId="690DB54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«Словоформы»:</w:t>
      </w:r>
    </w:p>
    <w:p w14:paraId="4DF05A6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_словоформы – идентификатор конкретной словоформы (Тип данных: целое число);</w:t>
      </w:r>
    </w:p>
    <w:p w14:paraId="18CA1CEF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_лексемы_с_частью_речи – идентификатор записи таблицы «Части речи лексем», определяющей лексему с частью речи (Тип данных: целое число);</w:t>
      </w:r>
    </w:p>
    <w:p w14:paraId="1CC4B0AD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_слова – идентификатор слова (Тип данных: целое число).</w:t>
      </w:r>
    </w:p>
    <w:p w14:paraId="40BAAB00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морфологических признаков»</w:t>
      </w:r>
    </w:p>
    <w:p w14:paraId="543EE3C9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(падеж, склонение и т.п.).</w:t>
      </w:r>
    </w:p>
    <w:p w14:paraId="0BB5661F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491B6D6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C4106D3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25AF908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5B48C756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121419D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283020A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59616E73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09D70C12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19F6BD4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«Наборы морфологических признаков словоформ»</w:t>
      </w:r>
    </w:p>
    <w:p w14:paraId="29C8CD46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морфологических признаков словоформ.</w:t>
      </w:r>
    </w:p>
    <w:p w14:paraId="1777C6E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«Наборы морфологических признаков словоформ»:</w:t>
      </w:r>
    </w:p>
    <w:p w14:paraId="691668E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_записи – идентификатор записи (Тип данных: целое число);</w:t>
      </w:r>
    </w:p>
    <w:p w14:paraId="1BC34FB8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_словоформы – идентификатор словоформы (Тип данных: целое число);</w:t>
      </w:r>
    </w:p>
    <w:p w14:paraId="2ED60B9A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_типа_морф_признака – идентификатор типа морфологического признака (Тип данных: целое число);</w:t>
      </w:r>
    </w:p>
    <w:p w14:paraId="6487F0E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_морф_признака – идентификатор значения морфологического признака (Тип данных: целое число).</w:t>
      </w:r>
    </w:p>
    <w:p w14:paraId="4E31C594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6759BAD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8E21EAE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A14B2E" wp14:editId="39CDCFC5">
            <wp:extent cx="5906770" cy="5083810"/>
            <wp:effectExtent l="0" t="0" r="0" b="2540"/>
            <wp:docPr id="5" name="Рисунок 5" descr="Лексико-семантический слова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ксико-семантический словар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C318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48AC26F1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0F5EC05F" w14:textId="77777777" w:rsidR="000F299F" w:rsidRDefault="000F299F" w:rsidP="000F299F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Таблица «Подклассы частей речи лексем» является частью МБД и описана в предыдущем разделе.</w:t>
      </w:r>
    </w:p>
    <w:p w14:paraId="4106C7A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3C26A5B7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31B038F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5086539D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4C429FDA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2FB44A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«Семантические значения»</w:t>
      </w:r>
    </w:p>
    <w:p w14:paraId="6C85F8C2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6AA523D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5C5D92A6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0CCFE172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E087E8D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46EB9A2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5786779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5CA7452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1815E7A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_подкласса_части_речи_лексемы – идентификатор конкретной лексемы с определенным подклассом части речи (Тип данных: целое число);</w:t>
      </w:r>
    </w:p>
    <w:p w14:paraId="1B65BC41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28F3CC60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BF452A5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571360A0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1D6ECE6B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3EF18EC0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53FE3836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5ABF4F00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7846959A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6E636A5" w14:textId="77777777" w:rsidR="000F299F" w:rsidRDefault="000F299F" w:rsidP="000F299F">
      <w:pPr>
        <w:pStyle w:val="a5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08CB41F8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глагольно-предложных фреймов</w:t>
      </w:r>
    </w:p>
    <w:p w14:paraId="78AE7B64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58C0A34A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27A88AEA" wp14:editId="07E5FE64">
            <wp:extent cx="5888990" cy="5641975"/>
            <wp:effectExtent l="0" t="0" r="0" b="0"/>
            <wp:docPr id="4" name="Рисунок 4" descr="Словарь глагольно-предложных фрей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оварь глагольно-предложных фреймо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2060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глагольно-предложных фреймов</w:t>
      </w:r>
    </w:p>
    <w:p w14:paraId="03F8028F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глагольно-предложных фреймов</w:t>
      </w:r>
    </w:p>
    <w:p w14:paraId="5C86C8D7" w14:textId="77777777" w:rsidR="000F299F" w:rsidRDefault="000F299F" w:rsidP="000F299F">
      <w:pPr>
        <w:pStyle w:val="a5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Таблицы 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39D3D65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«Глагольно-предложные фреймы»</w:t>
      </w:r>
    </w:p>
    <w:p w14:paraId="0ED2B993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глагольно-предложных фреймов.</w:t>
      </w:r>
    </w:p>
    <w:p w14:paraId="4525FA71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«Глагольно-предложные фреймы»:</w:t>
      </w:r>
    </w:p>
    <w:p w14:paraId="5D05AA2C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_глаг_предложного_фрейма – идентификатор глагольно-предложного фрейма (Тип данных: целое число);</w:t>
      </w:r>
    </w:p>
    <w:p w14:paraId="3D5E541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_сем_значения_ситуации – идентификатор семантического значения ситуации, описываемой глагольной формой (Тип данных: целое число);</w:t>
      </w:r>
    </w:p>
    <w:p w14:paraId="66CDDF95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_формы_глагола – идентификатор признака, определяющего форму глагола (Тип данных: целое число);</w:t>
      </w:r>
    </w:p>
    <w:p w14:paraId="03074B6C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_возвратности_глагола – идентификатор признака, определяющего возвратность глагола (Тип данных: целое число);</w:t>
      </w:r>
    </w:p>
    <w:p w14:paraId="49E51E1D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_залога_глагола – идентификатор признака, определяющего залог глагола (Тип данных: целое число);</w:t>
      </w:r>
    </w:p>
    <w:p w14:paraId="75C11AFF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предлога – идентификатор лексемы предлога, связанного с глагольной формой (Тип данных: целое число);</w:t>
      </w:r>
    </w:p>
    <w:p w14:paraId="0C359F07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_падеж_зависимого_слова – идентификатор признака, определяющего падеж слова (Тип данных: целое число);</w:t>
      </w:r>
    </w:p>
    <w:p w14:paraId="002282B9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_сем_значения_фрейма – идентификатор семантического значения фрейма (Тип данных: целое число);</w:t>
      </w:r>
    </w:p>
    <w:p w14:paraId="46FDA901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0C49753E" w14:textId="77777777" w:rsidR="000F299F" w:rsidRDefault="000F299F" w:rsidP="000F299F">
      <w:pPr>
        <w:pStyle w:val="a5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79238045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61FCD279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4.</w:t>
      </w:r>
    </w:p>
    <w:p w14:paraId="3B234C17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D5CEB77" wp14:editId="10C2035C">
            <wp:extent cx="5623560" cy="3822065"/>
            <wp:effectExtent l="0" t="0" r="0" b="6985"/>
            <wp:docPr id="3" name="Рисунок 3" descr="Словарь предложных фрейм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ловарь предложных фреймо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E9EB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4 – схема словаря предложных фреймов</w:t>
      </w:r>
    </w:p>
    <w:p w14:paraId="0D5CB4DD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3893499E" w14:textId="77777777" w:rsidR="000F299F" w:rsidRDefault="000F299F" w:rsidP="000F299F">
      <w:pPr>
        <w:pStyle w:val="a5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Таблицы «Части речи лексем»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057C093F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027B5702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50C5A624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498398AF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88547BE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_лексема_предлога – идентификатор лексемы предлога (Тип данных: целое число);</w:t>
      </w:r>
    </w:p>
    <w:p w14:paraId="0C1E1985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9C5C074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32752ABC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53F54D3B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04A0AF99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237D27EC" w14:textId="77777777" w:rsidR="000F299F" w:rsidRDefault="000F299F" w:rsidP="000F299F">
      <w:pPr>
        <w:pStyle w:val="a5"/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</w:p>
    <w:p w14:paraId="13714A13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7C337D5C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5.</w:t>
      </w:r>
    </w:p>
    <w:p w14:paraId="5E5D370B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7E078CB3" wp14:editId="02ADBCA5">
            <wp:extent cx="2797810" cy="3730625"/>
            <wp:effectExtent l="0" t="0" r="2540" b="3175"/>
            <wp:docPr id="2" name="Рисунок 2" descr="Компонент_пере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мпонент_перевод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8E51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bookmarkStart w:id="1" w:name="_GoBack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5 – Схема компонента разрешения имен параметров </w:t>
      </w:r>
    </w:p>
    <w:bookmarkEnd w:id="1"/>
    <w:p w14:paraId="0B0193CB" w14:textId="77777777" w:rsidR="000F299F" w:rsidRDefault="000F299F" w:rsidP="000F299F">
      <w:pPr>
        <w:pStyle w:val="a5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lastRenderedPageBreak/>
        <w:t>Описание таблиц компонента разрешения имен</w:t>
      </w:r>
    </w:p>
    <w:p w14:paraId="568F887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5B73467F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70646D5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57C3C8CC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0CFB0F75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168CAAB6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2D7DCC3A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E10AB2E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7083E2F1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0EA63296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18EF61DC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«Связи параметров»</w:t>
      </w:r>
    </w:p>
    <w:p w14:paraId="328A05B2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74095028" w14:textId="77777777" w:rsidR="000F299F" w:rsidRDefault="000F299F" w:rsidP="000F299F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24550E36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6E0EF4DF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4ED5053F" w14:textId="77777777" w:rsidR="000F299F" w:rsidRDefault="000F299F" w:rsidP="000F299F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5D373400" w14:textId="77777777" w:rsidR="000F299F" w:rsidRDefault="000F299F" w:rsidP="000F299F">
      <w:pPr>
        <w:pStyle w:val="a5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</w:p>
    <w:p w14:paraId="29D2D658" w14:textId="77777777" w:rsidR="000F299F" w:rsidRDefault="000F299F" w:rsidP="000F299F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Общая схема лингвистической базы данных</w:t>
      </w:r>
    </w:p>
    <w:p w14:paraId="1875A87E" w14:textId="77777777" w:rsidR="000F299F" w:rsidRDefault="000F299F" w:rsidP="000F299F">
      <w:pPr>
        <w:pStyle w:val="a5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6.</w:t>
      </w:r>
    </w:p>
    <w:p w14:paraId="74CD97ED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5E2AC51B" wp14:editId="29D87B5F">
            <wp:extent cx="5934710" cy="3940810"/>
            <wp:effectExtent l="0" t="0" r="8890" b="2540"/>
            <wp:docPr id="1" name="Рисунок 1" descr="Общая 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щая схем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5B1B" w14:textId="77777777" w:rsidR="000F299F" w:rsidRDefault="000F299F" w:rsidP="000F299F">
      <w:pPr>
        <w:pStyle w:val="a5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6 – Общая схема лингвистической базы данных</w:t>
      </w:r>
    </w:p>
    <w:p w14:paraId="5595E5F6" w14:textId="77777777" w:rsidR="004E7DF2" w:rsidRDefault="004E7DF2"/>
    <w:sectPr w:rsidR="004E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4-16T13:20:00Z" w:initials="dr.N.">
    <w:p w14:paraId="78E5091B" w14:textId="77777777" w:rsidR="000F299F" w:rsidRDefault="000F299F" w:rsidP="000F299F">
      <w:pPr>
        <w:pStyle w:val="a3"/>
      </w:pPr>
      <w:r>
        <w:rPr>
          <w:rStyle w:val="a6"/>
        </w:rPr>
        <w:annotationRef/>
      </w:r>
      <w:r>
        <w:t>Обновить картинку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E509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9F"/>
    <w:rsid w:val="0001551D"/>
    <w:rsid w:val="000F299F"/>
    <w:rsid w:val="004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600D"/>
  <w15:chartTrackingRefBased/>
  <w15:docId w15:val="{F079B18F-0A5B-44C7-8C30-093D5DB3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9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0F299F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0F299F"/>
    <w:rPr>
      <w:sz w:val="20"/>
      <w:szCs w:val="20"/>
    </w:rPr>
  </w:style>
  <w:style w:type="paragraph" w:styleId="a5">
    <w:name w:val="List Paragraph"/>
    <w:basedOn w:val="a"/>
    <w:uiPriority w:val="34"/>
    <w:qFormat/>
    <w:rsid w:val="000F299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0F299F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0F2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F2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</cp:revision>
  <dcterms:created xsi:type="dcterms:W3CDTF">2022-05-11T09:40:00Z</dcterms:created>
  <dcterms:modified xsi:type="dcterms:W3CDTF">2022-05-11T16:05:00Z</dcterms:modified>
</cp:coreProperties>
</file>