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356" w:rsidRDefault="007F3356" w:rsidP="007F3356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b/>
          <w:bCs/>
          <w:color w:val="2C2D2E"/>
          <w:sz w:val="32"/>
          <w:szCs w:val="32"/>
        </w:rPr>
      </w:pPr>
      <w:r w:rsidRPr="00F76145">
        <w:rPr>
          <w:b/>
          <w:bCs/>
          <w:color w:val="2C2D2E"/>
          <w:sz w:val="32"/>
          <w:szCs w:val="32"/>
        </w:rPr>
        <w:t>Введение</w:t>
      </w:r>
    </w:p>
    <w:p w:rsidR="00253FC4" w:rsidRPr="00253FC4" w:rsidRDefault="00253FC4" w:rsidP="007F3356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b/>
          <w:bCs/>
          <w:color w:val="2C2D2E"/>
        </w:rPr>
      </w:pPr>
      <w:r>
        <w:rPr>
          <w:b/>
          <w:bCs/>
          <w:color w:val="2C2D2E"/>
          <w:sz w:val="32"/>
          <w:szCs w:val="32"/>
        </w:rPr>
        <w:t>???</w:t>
      </w:r>
      <w:bookmarkStart w:id="0" w:name="_GoBack"/>
      <w:bookmarkEnd w:id="0"/>
    </w:p>
    <w:p w:rsidR="007F3356" w:rsidRDefault="007F3356" w:rsidP="007F3356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b/>
          <w:bCs/>
          <w:color w:val="2C2D2E"/>
          <w:sz w:val="32"/>
          <w:szCs w:val="32"/>
        </w:rPr>
      </w:pPr>
      <w:r w:rsidRPr="00F76145">
        <w:rPr>
          <w:b/>
          <w:bCs/>
          <w:color w:val="2C2D2E"/>
          <w:sz w:val="32"/>
          <w:szCs w:val="32"/>
        </w:rPr>
        <w:t>Краткие сведения о семантической информационной системе </w:t>
      </w:r>
      <w:r w:rsidRPr="00F76145">
        <w:rPr>
          <w:b/>
          <w:bCs/>
          <w:color w:val="2C2D2E"/>
          <w:sz w:val="32"/>
          <w:szCs w:val="32"/>
          <w:lang w:val="en-US"/>
        </w:rPr>
        <w:t>LOD</w:t>
      </w:r>
      <w:r w:rsidRPr="00F76145">
        <w:rPr>
          <w:b/>
          <w:bCs/>
          <w:color w:val="2C2D2E"/>
          <w:sz w:val="32"/>
          <w:szCs w:val="32"/>
        </w:rPr>
        <w:t> и ее применениях</w:t>
      </w:r>
    </w:p>
    <w:p w:rsidR="00CA76A3" w:rsidRPr="00372E57" w:rsidRDefault="00E673FA" w:rsidP="007F3356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372E57">
        <w:rPr>
          <w:color w:val="000000" w:themeColor="text1"/>
          <w:sz w:val="28"/>
          <w:szCs w:val="28"/>
          <w:lang w:val="en-US"/>
        </w:rPr>
        <w:t>LOD</w:t>
      </w:r>
      <w:r w:rsidRPr="00372E57">
        <w:rPr>
          <w:color w:val="000000" w:themeColor="text1"/>
          <w:sz w:val="28"/>
          <w:szCs w:val="28"/>
        </w:rPr>
        <w:t xml:space="preserve"> (</w:t>
      </w:r>
      <w:r w:rsidRPr="00372E57">
        <w:rPr>
          <w:color w:val="000000" w:themeColor="text1"/>
          <w:sz w:val="28"/>
          <w:szCs w:val="28"/>
          <w:lang w:val="en-US"/>
        </w:rPr>
        <w:t>Linked</w:t>
      </w:r>
      <w:r w:rsidRPr="00372E57">
        <w:rPr>
          <w:color w:val="000000" w:themeColor="text1"/>
          <w:sz w:val="28"/>
          <w:szCs w:val="28"/>
        </w:rPr>
        <w:t xml:space="preserve"> </w:t>
      </w:r>
      <w:r w:rsidRPr="00372E57">
        <w:rPr>
          <w:color w:val="000000" w:themeColor="text1"/>
          <w:sz w:val="28"/>
          <w:szCs w:val="28"/>
          <w:lang w:val="en-US"/>
        </w:rPr>
        <w:t>Open</w:t>
      </w:r>
      <w:r w:rsidRPr="00372E57">
        <w:rPr>
          <w:color w:val="000000" w:themeColor="text1"/>
          <w:sz w:val="28"/>
          <w:szCs w:val="28"/>
        </w:rPr>
        <w:t xml:space="preserve"> </w:t>
      </w:r>
      <w:r w:rsidRPr="00372E57">
        <w:rPr>
          <w:color w:val="000000" w:themeColor="text1"/>
          <w:sz w:val="28"/>
          <w:szCs w:val="28"/>
          <w:lang w:val="en-US"/>
        </w:rPr>
        <w:t>Data</w:t>
      </w:r>
      <w:r w:rsidRPr="00372E57">
        <w:rPr>
          <w:color w:val="000000" w:themeColor="text1"/>
          <w:sz w:val="28"/>
          <w:szCs w:val="28"/>
        </w:rPr>
        <w:t xml:space="preserve">) – </w:t>
      </w:r>
      <w:r w:rsidR="00A62B5A" w:rsidRPr="00372E57">
        <w:rPr>
          <w:color w:val="000000" w:themeColor="text1"/>
          <w:sz w:val="28"/>
          <w:szCs w:val="28"/>
        </w:rPr>
        <w:t xml:space="preserve">открытые связные данные – система, подразумевающая использование методов публикации и связывание структурированных данных в Интернете. Основывается на четырех </w:t>
      </w:r>
      <w:r w:rsidR="00104B09" w:rsidRPr="00372E57">
        <w:rPr>
          <w:color w:val="000000" w:themeColor="text1"/>
          <w:sz w:val="28"/>
          <w:szCs w:val="28"/>
        </w:rPr>
        <w:t>принципах,</w:t>
      </w:r>
      <w:r w:rsidR="007C43F0" w:rsidRPr="00372E57">
        <w:rPr>
          <w:color w:val="000000" w:themeColor="text1"/>
          <w:sz w:val="28"/>
          <w:szCs w:val="28"/>
        </w:rPr>
        <w:t xml:space="preserve"> введенных</w:t>
      </w:r>
      <w:r w:rsidR="00A62B5A" w:rsidRPr="00372E57">
        <w:rPr>
          <w:color w:val="000000" w:themeColor="text1"/>
          <w:sz w:val="28"/>
          <w:szCs w:val="28"/>
        </w:rPr>
        <w:t xml:space="preserve"> Тимом Бернерс-Ли: </w:t>
      </w:r>
    </w:p>
    <w:p w:rsidR="00A62B5A" w:rsidRPr="00372E57" w:rsidRDefault="00A62B5A" w:rsidP="00A62B5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372E57">
        <w:rPr>
          <w:color w:val="000000" w:themeColor="text1"/>
          <w:sz w:val="28"/>
          <w:szCs w:val="28"/>
        </w:rPr>
        <w:t xml:space="preserve">Необходимо </w:t>
      </w:r>
      <w:r w:rsidR="007C43F0" w:rsidRPr="00372E57">
        <w:rPr>
          <w:color w:val="000000" w:themeColor="text1"/>
          <w:sz w:val="28"/>
          <w:szCs w:val="28"/>
        </w:rPr>
        <w:t>использование</w:t>
      </w:r>
      <w:r w:rsidRPr="00372E57">
        <w:rPr>
          <w:color w:val="000000" w:themeColor="text1"/>
          <w:sz w:val="28"/>
          <w:szCs w:val="28"/>
        </w:rPr>
        <w:t xml:space="preserve"> </w:t>
      </w:r>
      <w:r w:rsidRPr="00372E57">
        <w:rPr>
          <w:color w:val="000000" w:themeColor="text1"/>
          <w:sz w:val="28"/>
          <w:szCs w:val="28"/>
          <w:lang w:val="en-US"/>
        </w:rPr>
        <w:t>URI</w:t>
      </w:r>
      <w:r w:rsidRPr="00372E57">
        <w:rPr>
          <w:color w:val="000000" w:themeColor="text1"/>
          <w:sz w:val="28"/>
          <w:szCs w:val="28"/>
        </w:rPr>
        <w:t xml:space="preserve"> () для объектов реального мира и абстрактных понятий, а не только для </w:t>
      </w:r>
      <w:r w:rsidR="007C43F0" w:rsidRPr="00372E57">
        <w:rPr>
          <w:color w:val="000000" w:themeColor="text1"/>
          <w:sz w:val="28"/>
          <w:szCs w:val="28"/>
        </w:rPr>
        <w:t>веб-документов и цифровых ресурсов;</w:t>
      </w:r>
    </w:p>
    <w:p w:rsidR="007C43F0" w:rsidRPr="00372E57" w:rsidRDefault="007C43F0" w:rsidP="00A62B5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372E57">
        <w:rPr>
          <w:color w:val="000000" w:themeColor="text1"/>
          <w:sz w:val="28"/>
          <w:szCs w:val="28"/>
        </w:rPr>
        <w:t xml:space="preserve">Необходимо использование </w:t>
      </w:r>
      <w:r w:rsidRPr="00372E57">
        <w:rPr>
          <w:color w:val="000000" w:themeColor="text1"/>
          <w:sz w:val="28"/>
          <w:szCs w:val="28"/>
          <w:lang w:val="en-US"/>
        </w:rPr>
        <w:t>HTTP</w:t>
      </w:r>
      <w:r w:rsidRPr="00372E57">
        <w:rPr>
          <w:color w:val="000000" w:themeColor="text1"/>
          <w:sz w:val="28"/>
          <w:szCs w:val="28"/>
        </w:rPr>
        <w:t xml:space="preserve"> </w:t>
      </w:r>
      <w:r w:rsidRPr="00372E57">
        <w:rPr>
          <w:color w:val="000000" w:themeColor="text1"/>
          <w:sz w:val="28"/>
          <w:szCs w:val="28"/>
          <w:lang w:val="en-US"/>
        </w:rPr>
        <w:t>URI</w:t>
      </w:r>
      <w:r w:rsidRPr="00372E57">
        <w:rPr>
          <w:color w:val="000000" w:themeColor="text1"/>
          <w:sz w:val="28"/>
          <w:szCs w:val="28"/>
        </w:rPr>
        <w:t xml:space="preserve">, что позволит использовать протокол </w:t>
      </w:r>
      <w:r w:rsidRPr="00372E57">
        <w:rPr>
          <w:color w:val="000000" w:themeColor="text1"/>
          <w:sz w:val="28"/>
          <w:szCs w:val="28"/>
          <w:lang w:val="en-US"/>
        </w:rPr>
        <w:t>HTTP</w:t>
      </w:r>
      <w:r w:rsidRPr="00372E57">
        <w:rPr>
          <w:color w:val="000000" w:themeColor="text1"/>
          <w:sz w:val="28"/>
          <w:szCs w:val="28"/>
        </w:rPr>
        <w:t xml:space="preserve"> для доступа к ресурсам;</w:t>
      </w:r>
    </w:p>
    <w:p w:rsidR="007C43F0" w:rsidRPr="00372E57" w:rsidRDefault="00372E57" w:rsidP="00A62B5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372E57">
        <w:rPr>
          <w:color w:val="000000" w:themeColor="text1"/>
          <w:sz w:val="28"/>
          <w:szCs w:val="28"/>
        </w:rPr>
        <w:t xml:space="preserve">Необходимо использование </w:t>
      </w:r>
      <w:r w:rsidRPr="00372E57">
        <w:rPr>
          <w:color w:val="000000" w:themeColor="text1"/>
          <w:sz w:val="28"/>
          <w:szCs w:val="28"/>
          <w:lang w:val="en-US"/>
        </w:rPr>
        <w:t>RDF</w:t>
      </w:r>
      <w:r w:rsidRPr="00372E57">
        <w:rPr>
          <w:color w:val="000000" w:themeColor="text1"/>
          <w:sz w:val="28"/>
          <w:szCs w:val="28"/>
        </w:rPr>
        <w:t xml:space="preserve"> (</w:t>
      </w:r>
      <w:r w:rsidRPr="00372E57">
        <w:rPr>
          <w:color w:val="000000" w:themeColor="text1"/>
          <w:sz w:val="28"/>
          <w:szCs w:val="28"/>
          <w:lang w:val="en-US"/>
        </w:rPr>
        <w:t>Resource</w:t>
      </w:r>
      <w:r w:rsidRPr="00372E57">
        <w:rPr>
          <w:color w:val="000000" w:themeColor="text1"/>
          <w:sz w:val="28"/>
          <w:szCs w:val="28"/>
        </w:rPr>
        <w:t xml:space="preserve"> </w:t>
      </w:r>
      <w:r w:rsidRPr="00372E57">
        <w:rPr>
          <w:color w:val="000000" w:themeColor="text1"/>
          <w:sz w:val="28"/>
          <w:szCs w:val="28"/>
          <w:lang w:val="en-US"/>
        </w:rPr>
        <w:t>Description</w:t>
      </w:r>
      <w:r w:rsidRPr="00372E57">
        <w:rPr>
          <w:color w:val="000000" w:themeColor="text1"/>
          <w:sz w:val="28"/>
          <w:szCs w:val="28"/>
        </w:rPr>
        <w:t xml:space="preserve"> </w:t>
      </w:r>
      <w:r w:rsidRPr="00372E57">
        <w:rPr>
          <w:color w:val="000000" w:themeColor="text1"/>
          <w:sz w:val="28"/>
          <w:szCs w:val="28"/>
          <w:lang w:val="en-US"/>
        </w:rPr>
        <w:t>Framework</w:t>
      </w:r>
      <w:r w:rsidRPr="00372E57">
        <w:rPr>
          <w:color w:val="000000" w:themeColor="text1"/>
          <w:sz w:val="28"/>
          <w:szCs w:val="28"/>
        </w:rPr>
        <w:t>) в качестве единой модели данных для публикации данных;</w:t>
      </w:r>
    </w:p>
    <w:p w:rsidR="00372E57" w:rsidRDefault="00372E57" w:rsidP="00A62B5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372E57">
        <w:rPr>
          <w:color w:val="000000" w:themeColor="text1"/>
          <w:sz w:val="28"/>
          <w:szCs w:val="28"/>
        </w:rPr>
        <w:t xml:space="preserve">Необходимо включать </w:t>
      </w:r>
      <w:r w:rsidRPr="00372E57">
        <w:rPr>
          <w:color w:val="000000" w:themeColor="text1"/>
          <w:sz w:val="28"/>
          <w:szCs w:val="28"/>
          <w:lang w:val="en-US"/>
        </w:rPr>
        <w:t>RDF</w:t>
      </w:r>
      <w:r w:rsidRPr="00372E57">
        <w:rPr>
          <w:color w:val="000000" w:themeColor="text1"/>
          <w:sz w:val="28"/>
          <w:szCs w:val="28"/>
        </w:rPr>
        <w:t xml:space="preserve"> утверждения на другие </w:t>
      </w:r>
      <w:r w:rsidRPr="00372E57">
        <w:rPr>
          <w:color w:val="000000" w:themeColor="text1"/>
          <w:sz w:val="28"/>
          <w:szCs w:val="28"/>
          <w:lang w:val="en-US"/>
        </w:rPr>
        <w:t>URI</w:t>
      </w:r>
      <w:r w:rsidRPr="00372E57">
        <w:rPr>
          <w:color w:val="000000" w:themeColor="text1"/>
          <w:sz w:val="28"/>
          <w:szCs w:val="28"/>
        </w:rPr>
        <w:t xml:space="preserve"> таким образом, чтобы была возможность обнаружения связанных данных.</w:t>
      </w:r>
      <w:r w:rsidR="000D0200">
        <w:rPr>
          <w:color w:val="000000" w:themeColor="text1"/>
          <w:sz w:val="28"/>
          <w:szCs w:val="28"/>
        </w:rPr>
        <w:t xml:space="preserve"> </w:t>
      </w:r>
    </w:p>
    <w:p w:rsidR="000D0200" w:rsidRDefault="000D0200" w:rsidP="00D04D46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RDF</w:t>
      </w:r>
      <w:r w:rsidRPr="00D04D46">
        <w:rPr>
          <w:color w:val="000000" w:themeColor="text1"/>
          <w:sz w:val="28"/>
          <w:szCs w:val="28"/>
          <w:lang w:val="en-US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Resource</w:t>
      </w:r>
      <w:r w:rsidRPr="00D04D4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Description</w:t>
      </w:r>
      <w:r w:rsidRPr="00D04D4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Framework</w:t>
      </w:r>
      <w:r w:rsidRPr="00D04D46">
        <w:rPr>
          <w:color w:val="000000" w:themeColor="text1"/>
          <w:sz w:val="28"/>
          <w:szCs w:val="28"/>
          <w:lang w:val="en-US"/>
        </w:rPr>
        <w:t>)</w:t>
      </w:r>
      <w:r w:rsidR="00D04D46" w:rsidRPr="00D04D46">
        <w:rPr>
          <w:color w:val="000000" w:themeColor="text1"/>
          <w:sz w:val="28"/>
          <w:szCs w:val="28"/>
          <w:lang w:val="en-US"/>
        </w:rPr>
        <w:t xml:space="preserve"> – </w:t>
      </w:r>
      <w:r w:rsidR="00D04D46">
        <w:rPr>
          <w:color w:val="000000" w:themeColor="text1"/>
          <w:sz w:val="28"/>
          <w:szCs w:val="28"/>
        </w:rPr>
        <w:t>фреймворк</w:t>
      </w:r>
      <w:r w:rsidR="00D04D46" w:rsidRPr="00D04D46">
        <w:rPr>
          <w:color w:val="000000" w:themeColor="text1"/>
          <w:sz w:val="28"/>
          <w:szCs w:val="28"/>
          <w:lang w:val="en-US"/>
        </w:rPr>
        <w:t xml:space="preserve"> </w:t>
      </w:r>
      <w:r w:rsidR="00D04D46">
        <w:rPr>
          <w:color w:val="000000" w:themeColor="text1"/>
          <w:sz w:val="28"/>
          <w:szCs w:val="28"/>
        </w:rPr>
        <w:t>описания</w:t>
      </w:r>
      <w:r w:rsidR="00D04D46" w:rsidRPr="00D04D46">
        <w:rPr>
          <w:color w:val="000000" w:themeColor="text1"/>
          <w:sz w:val="28"/>
          <w:szCs w:val="28"/>
          <w:lang w:val="en-US"/>
        </w:rPr>
        <w:t xml:space="preserve"> </w:t>
      </w:r>
      <w:r w:rsidR="00D04D46">
        <w:rPr>
          <w:color w:val="000000" w:themeColor="text1"/>
          <w:sz w:val="28"/>
          <w:szCs w:val="28"/>
        </w:rPr>
        <w:t>ресурсов</w:t>
      </w:r>
      <w:r w:rsidR="00D04D46" w:rsidRPr="00D04D46">
        <w:rPr>
          <w:color w:val="000000" w:themeColor="text1"/>
          <w:sz w:val="28"/>
          <w:szCs w:val="28"/>
          <w:lang w:val="en-US"/>
        </w:rPr>
        <w:t xml:space="preserve">. </w:t>
      </w:r>
      <w:r w:rsidR="00D04D46">
        <w:rPr>
          <w:color w:val="000000" w:themeColor="text1"/>
          <w:sz w:val="28"/>
          <w:szCs w:val="28"/>
        </w:rPr>
        <w:t>Представляет собой совокупность утверждений о ресурсах в виде, удобном для машинной обработки.</w:t>
      </w:r>
    </w:p>
    <w:p w:rsidR="00104B09" w:rsidRDefault="00104B09" w:rsidP="00D04D46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Формальная модель </w:t>
      </w:r>
      <w:r>
        <w:rPr>
          <w:color w:val="000000" w:themeColor="text1"/>
          <w:sz w:val="28"/>
          <w:szCs w:val="28"/>
          <w:lang w:val="en-US"/>
        </w:rPr>
        <w:t>RDF</w:t>
      </w:r>
      <w:r w:rsidR="00254D8D" w:rsidRPr="00254D8D">
        <w:rPr>
          <w:color w:val="000000" w:themeColor="text1"/>
          <w:sz w:val="28"/>
          <w:szCs w:val="28"/>
        </w:rPr>
        <w:t xml:space="preserve"> </w:t>
      </w:r>
      <w:r w:rsidR="00254D8D">
        <w:rPr>
          <w:color w:val="000000" w:themeColor="text1"/>
          <w:sz w:val="28"/>
          <w:szCs w:val="28"/>
        </w:rPr>
        <w:t>состоит из следующих множеств:</w:t>
      </w:r>
    </w:p>
    <w:p w:rsidR="00254D8D" w:rsidRDefault="009A349C" w:rsidP="00254D8D">
      <w:pPr>
        <w:pStyle w:val="msonormalmrcssattr"/>
        <w:numPr>
          <w:ilvl w:val="0"/>
          <w:numId w:val="6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Множество «Ресурсы»;</w:t>
      </w:r>
    </w:p>
    <w:p w:rsidR="009A349C" w:rsidRDefault="009A349C" w:rsidP="00254D8D">
      <w:pPr>
        <w:pStyle w:val="msonormalmrcssattr"/>
        <w:numPr>
          <w:ilvl w:val="0"/>
          <w:numId w:val="6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Множество «Литералы»;</w:t>
      </w:r>
    </w:p>
    <w:p w:rsidR="009A349C" w:rsidRDefault="009A349C" w:rsidP="00254D8D">
      <w:pPr>
        <w:pStyle w:val="msonormalmrcssattr"/>
        <w:numPr>
          <w:ilvl w:val="0"/>
          <w:numId w:val="6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Подмножество «Ресурсов» – «Свойства»;</w:t>
      </w:r>
    </w:p>
    <w:p w:rsidR="009A349C" w:rsidRDefault="009A349C" w:rsidP="00254D8D">
      <w:pPr>
        <w:pStyle w:val="msonormalmrcssattr"/>
        <w:numPr>
          <w:ilvl w:val="0"/>
          <w:numId w:val="6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Множество «Утверждения».</w:t>
      </w:r>
    </w:p>
    <w:p w:rsidR="009A349C" w:rsidRDefault="009A349C" w:rsidP="004A4951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Последнее множество состоит из троек вида:</w:t>
      </w:r>
    </w:p>
    <w:p w:rsidR="009A349C" w:rsidRDefault="009A349C" w:rsidP="004A4951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9A349C">
        <w:rPr>
          <w:color w:val="000000" w:themeColor="text1"/>
          <w:sz w:val="28"/>
          <w:szCs w:val="28"/>
        </w:rPr>
        <w:t>{</w:t>
      </w:r>
      <w:r>
        <w:rPr>
          <w:color w:val="000000" w:themeColor="text1"/>
          <w:sz w:val="28"/>
          <w:szCs w:val="28"/>
        </w:rPr>
        <w:t>предикат, субъект, объект</w:t>
      </w:r>
      <w:r w:rsidRPr="009A349C">
        <w:rPr>
          <w:color w:val="000000" w:themeColor="text1"/>
          <w:sz w:val="28"/>
          <w:szCs w:val="28"/>
        </w:rPr>
        <w:t>}</w:t>
      </w:r>
      <w:r>
        <w:rPr>
          <w:color w:val="000000" w:themeColor="text1"/>
          <w:sz w:val="28"/>
          <w:szCs w:val="28"/>
        </w:rPr>
        <w:t>,</w:t>
      </w:r>
    </w:p>
    <w:p w:rsidR="00C81E0B" w:rsidRDefault="009A349C" w:rsidP="004A4951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где предикат – это</w:t>
      </w:r>
      <w:r w:rsidR="00C81E0B">
        <w:rPr>
          <w:color w:val="000000" w:themeColor="text1"/>
          <w:sz w:val="28"/>
          <w:szCs w:val="28"/>
        </w:rPr>
        <w:t xml:space="preserve"> элемент множества</w:t>
      </w:r>
      <w:r>
        <w:rPr>
          <w:color w:val="000000" w:themeColor="text1"/>
          <w:sz w:val="28"/>
          <w:szCs w:val="28"/>
        </w:rPr>
        <w:t xml:space="preserve"> </w:t>
      </w:r>
      <w:r w:rsidR="00C81E0B">
        <w:rPr>
          <w:color w:val="000000" w:themeColor="text1"/>
          <w:sz w:val="28"/>
          <w:szCs w:val="28"/>
        </w:rPr>
        <w:t>«С</w:t>
      </w:r>
      <w:r>
        <w:rPr>
          <w:color w:val="000000" w:themeColor="text1"/>
          <w:sz w:val="28"/>
          <w:szCs w:val="28"/>
        </w:rPr>
        <w:t>войств</w:t>
      </w:r>
      <w:r w:rsidR="00C81E0B">
        <w:rPr>
          <w:color w:val="000000" w:themeColor="text1"/>
          <w:sz w:val="28"/>
          <w:szCs w:val="28"/>
        </w:rPr>
        <w:t>а»</w:t>
      </w:r>
      <w:r>
        <w:rPr>
          <w:color w:val="000000" w:themeColor="text1"/>
          <w:sz w:val="28"/>
          <w:szCs w:val="28"/>
        </w:rPr>
        <w:t>,</w:t>
      </w:r>
      <w:r w:rsidR="00C81E0B">
        <w:rPr>
          <w:color w:val="000000" w:themeColor="text1"/>
          <w:sz w:val="28"/>
          <w:szCs w:val="28"/>
        </w:rPr>
        <w:t xml:space="preserve"> </w:t>
      </w:r>
    </w:p>
    <w:p w:rsidR="00C81E0B" w:rsidRDefault="00C81E0B" w:rsidP="004A4951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субъект – это элемент множества «Ресурсы»,</w:t>
      </w:r>
    </w:p>
    <w:p w:rsidR="009A349C" w:rsidRDefault="00C81E0B" w:rsidP="004A4951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объект – это элемент </w:t>
      </w:r>
      <w:r w:rsidR="00697FE0">
        <w:rPr>
          <w:color w:val="000000" w:themeColor="text1"/>
          <w:sz w:val="28"/>
          <w:szCs w:val="28"/>
        </w:rPr>
        <w:t>либо множества «Ресурсы», либо множества «Литералы».</w:t>
      </w:r>
    </w:p>
    <w:p w:rsidR="004A4951" w:rsidRDefault="00697FE0" w:rsidP="004A4951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Но сама модель данных </w:t>
      </w:r>
      <w:r>
        <w:rPr>
          <w:color w:val="000000" w:themeColor="text1"/>
          <w:sz w:val="28"/>
          <w:szCs w:val="28"/>
          <w:lang w:val="en-US"/>
        </w:rPr>
        <w:t>RDF</w:t>
      </w:r>
      <w:r w:rsidRPr="00697FE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не дает возможности ни для объявления свойств, ни для определения связей между свойствами и другими ресурсами. Для выполнения данных функций используется </w:t>
      </w:r>
      <w:r>
        <w:rPr>
          <w:color w:val="000000" w:themeColor="text1"/>
          <w:sz w:val="28"/>
          <w:szCs w:val="28"/>
          <w:lang w:val="en-US"/>
        </w:rPr>
        <w:t>RDF</w:t>
      </w:r>
      <w:r w:rsidRPr="004A49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Schema</w:t>
      </w:r>
      <w:r w:rsidR="00F21DAD">
        <w:rPr>
          <w:color w:val="000000" w:themeColor="text1"/>
          <w:sz w:val="28"/>
          <w:szCs w:val="28"/>
        </w:rPr>
        <w:t xml:space="preserve"> (он же </w:t>
      </w:r>
      <w:r w:rsidR="00F21DAD">
        <w:rPr>
          <w:color w:val="000000" w:themeColor="text1"/>
          <w:sz w:val="28"/>
          <w:szCs w:val="28"/>
          <w:lang w:val="en-US"/>
        </w:rPr>
        <w:t>RDFS</w:t>
      </w:r>
      <w:r w:rsidR="00F21DAD">
        <w:rPr>
          <w:color w:val="000000" w:themeColor="text1"/>
          <w:sz w:val="28"/>
          <w:szCs w:val="28"/>
        </w:rPr>
        <w:t>)</w:t>
      </w:r>
      <w:r w:rsidR="004A4951">
        <w:rPr>
          <w:color w:val="000000" w:themeColor="text1"/>
          <w:sz w:val="28"/>
          <w:szCs w:val="28"/>
        </w:rPr>
        <w:t xml:space="preserve">. </w:t>
      </w:r>
    </w:p>
    <w:p w:rsidR="00697FE0" w:rsidRDefault="004A4951" w:rsidP="004A4951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RDF</w:t>
      </w:r>
      <w:r w:rsidR="00F21DAD">
        <w:rPr>
          <w:color w:val="000000" w:themeColor="text1"/>
          <w:sz w:val="28"/>
          <w:szCs w:val="28"/>
          <w:lang w:val="en-US"/>
        </w:rPr>
        <w:t>S</w:t>
      </w:r>
      <w:r w:rsidRPr="004A49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предоставляет базовую систему типов для создания </w:t>
      </w:r>
      <w:r>
        <w:rPr>
          <w:color w:val="000000" w:themeColor="text1"/>
          <w:sz w:val="28"/>
          <w:szCs w:val="28"/>
          <w:lang w:val="en-US"/>
        </w:rPr>
        <w:t>RDF</w:t>
      </w:r>
      <w:r w:rsidRPr="004A49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моделей.</w:t>
      </w:r>
      <w:r w:rsidR="001847B8">
        <w:rPr>
          <w:color w:val="000000" w:themeColor="text1"/>
          <w:sz w:val="28"/>
          <w:szCs w:val="28"/>
        </w:rPr>
        <w:t xml:space="preserve"> </w:t>
      </w:r>
    </w:p>
    <w:p w:rsidR="00253FC4" w:rsidRPr="00253FC4" w:rsidRDefault="00253FC4" w:rsidP="004A4951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FF0000"/>
          <w:sz w:val="28"/>
          <w:szCs w:val="28"/>
        </w:rPr>
      </w:pPr>
      <w:r w:rsidRPr="00253FC4">
        <w:rPr>
          <w:color w:val="FF0000"/>
          <w:sz w:val="28"/>
          <w:szCs w:val="28"/>
        </w:rPr>
        <w:t>Дополнить про классы и свойства; про описание сущностей.</w:t>
      </w:r>
    </w:p>
    <w:p w:rsidR="004A4951" w:rsidRPr="004A4951" w:rsidRDefault="004A4951" w:rsidP="004A4951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</w:p>
    <w:p w:rsidR="007F3356" w:rsidRDefault="007F3356" w:rsidP="00253FC4">
      <w:pPr>
        <w:pStyle w:val="msonormalmrcssattr"/>
        <w:shd w:val="clear" w:color="auto" w:fill="FFFFFF"/>
        <w:tabs>
          <w:tab w:val="left" w:pos="7811"/>
        </w:tabs>
        <w:spacing w:before="0" w:beforeAutospacing="0" w:after="160" w:afterAutospacing="0" w:line="235" w:lineRule="atLeast"/>
        <w:jc w:val="both"/>
        <w:rPr>
          <w:b/>
          <w:bCs/>
          <w:color w:val="2C2D2E"/>
          <w:sz w:val="32"/>
          <w:szCs w:val="32"/>
          <w:lang w:val="en-US"/>
        </w:rPr>
      </w:pPr>
      <w:r w:rsidRPr="00F76145">
        <w:rPr>
          <w:b/>
          <w:bCs/>
          <w:color w:val="2C2D2E"/>
          <w:sz w:val="32"/>
          <w:szCs w:val="32"/>
        </w:rPr>
        <w:t>Основные конструкции языка запросов </w:t>
      </w:r>
      <w:r w:rsidRPr="00F76145">
        <w:rPr>
          <w:b/>
          <w:bCs/>
          <w:color w:val="2C2D2E"/>
          <w:sz w:val="32"/>
          <w:szCs w:val="32"/>
          <w:lang w:val="en-US"/>
        </w:rPr>
        <w:t>SPARQL</w:t>
      </w:r>
      <w:r w:rsidR="00253FC4">
        <w:rPr>
          <w:b/>
          <w:bCs/>
          <w:color w:val="2C2D2E"/>
          <w:sz w:val="32"/>
          <w:szCs w:val="32"/>
          <w:lang w:val="en-US"/>
        </w:rPr>
        <w:tab/>
      </w:r>
    </w:p>
    <w:p w:rsidR="00253FC4" w:rsidRPr="00253FC4" w:rsidRDefault="00253FC4" w:rsidP="00253FC4">
      <w:pPr>
        <w:pStyle w:val="msonormalmrcssattr"/>
        <w:shd w:val="clear" w:color="auto" w:fill="FFFFFF"/>
        <w:tabs>
          <w:tab w:val="left" w:pos="7811"/>
        </w:tabs>
        <w:spacing w:before="0" w:beforeAutospacing="0" w:after="160" w:afterAutospacing="0" w:line="235" w:lineRule="atLeast"/>
        <w:jc w:val="both"/>
        <w:rPr>
          <w:rFonts w:ascii="Calibri" w:hAnsi="Calibri" w:cs="Calibri"/>
          <w:color w:val="FF0000"/>
          <w:lang w:val="en-US"/>
        </w:rPr>
      </w:pPr>
      <w:r w:rsidRPr="00253FC4">
        <w:rPr>
          <w:rFonts w:ascii="Calibri" w:hAnsi="Calibri" w:cs="Calibri"/>
          <w:color w:val="FF0000"/>
          <w:lang w:val="en-US"/>
        </w:rPr>
        <w:t>SPARQL Query Language for RDF</w:t>
      </w:r>
      <w:r w:rsidRPr="00253FC4">
        <w:rPr>
          <w:rFonts w:ascii="Calibri" w:hAnsi="Calibri" w:cs="Calibri"/>
          <w:color w:val="FF0000"/>
          <w:lang w:val="en-US"/>
        </w:rPr>
        <w:t xml:space="preserve"> - </w:t>
      </w:r>
      <w:hyperlink r:id="rId5" w:history="1">
        <w:r w:rsidRPr="00253FC4">
          <w:rPr>
            <w:rStyle w:val="a4"/>
            <w:rFonts w:ascii="Calibri" w:hAnsi="Calibri" w:cs="Calibri"/>
            <w:color w:val="FF0000"/>
            <w:lang w:val="en-US"/>
          </w:rPr>
          <w:t>https://www.w3.org/TR/rdf-sparql-query/</w:t>
        </w:r>
      </w:hyperlink>
    </w:p>
    <w:p w:rsidR="00253FC4" w:rsidRPr="00253FC4" w:rsidRDefault="00253FC4" w:rsidP="00253FC4">
      <w:pPr>
        <w:pStyle w:val="msonormalmrcssattr"/>
        <w:shd w:val="clear" w:color="auto" w:fill="FFFFFF"/>
        <w:tabs>
          <w:tab w:val="left" w:pos="7811"/>
        </w:tabs>
        <w:spacing w:before="0" w:beforeAutospacing="0" w:after="160" w:afterAutospacing="0" w:line="235" w:lineRule="atLeast"/>
        <w:jc w:val="both"/>
        <w:rPr>
          <w:rFonts w:ascii="Calibri" w:hAnsi="Calibri" w:cs="Calibri"/>
          <w:color w:val="2C2D2E"/>
          <w:lang w:val="en-US"/>
        </w:rPr>
      </w:pPr>
    </w:p>
    <w:p w:rsidR="007F3356" w:rsidRDefault="007F3356" w:rsidP="007F3356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b/>
          <w:bCs/>
          <w:color w:val="2C2D2E"/>
          <w:sz w:val="32"/>
          <w:szCs w:val="32"/>
        </w:rPr>
      </w:pPr>
      <w:r w:rsidRPr="00F76145">
        <w:rPr>
          <w:b/>
          <w:bCs/>
          <w:color w:val="2C2D2E"/>
          <w:sz w:val="32"/>
          <w:szCs w:val="32"/>
        </w:rPr>
        <w:t>Основные современные подходы к формальному описанию семантической структуры текстов на естественном языке (ЕЯ)</w:t>
      </w:r>
    </w:p>
    <w:p w:rsidR="00EC7DC8" w:rsidRDefault="00F76145" w:rsidP="00EC7DC8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B0DCF">
        <w:rPr>
          <w:color w:val="000000" w:themeColor="text1"/>
          <w:sz w:val="28"/>
          <w:szCs w:val="28"/>
        </w:rPr>
        <w:t xml:space="preserve">Одним из подходов к формальному описанию текстов на ЕЯ является </w:t>
      </w:r>
      <w:r w:rsidRPr="003B0DCF">
        <w:rPr>
          <w:color w:val="000000" w:themeColor="text1"/>
          <w:sz w:val="28"/>
          <w:szCs w:val="28"/>
          <w:lang w:val="en-US"/>
        </w:rPr>
        <w:t>AMR</w:t>
      </w:r>
      <w:r w:rsidRPr="003B0DCF">
        <w:rPr>
          <w:color w:val="000000" w:themeColor="text1"/>
          <w:sz w:val="28"/>
          <w:szCs w:val="28"/>
        </w:rPr>
        <w:t xml:space="preserve"> (</w:t>
      </w:r>
      <w:r w:rsidRPr="003B0DCF">
        <w:rPr>
          <w:color w:val="000000" w:themeColor="text1"/>
          <w:sz w:val="28"/>
          <w:szCs w:val="28"/>
          <w:lang w:val="en-US"/>
        </w:rPr>
        <w:t>Abstract</w:t>
      </w:r>
      <w:r w:rsidRPr="003B0DCF">
        <w:rPr>
          <w:color w:val="000000" w:themeColor="text1"/>
          <w:sz w:val="28"/>
          <w:szCs w:val="28"/>
        </w:rPr>
        <w:t xml:space="preserve"> </w:t>
      </w:r>
      <w:r w:rsidRPr="003B0DCF">
        <w:rPr>
          <w:color w:val="000000" w:themeColor="text1"/>
          <w:sz w:val="28"/>
          <w:szCs w:val="28"/>
          <w:lang w:val="en-US"/>
        </w:rPr>
        <w:t>Meaning</w:t>
      </w:r>
      <w:r w:rsidRPr="003B0DCF">
        <w:rPr>
          <w:color w:val="000000" w:themeColor="text1"/>
          <w:sz w:val="28"/>
          <w:szCs w:val="28"/>
        </w:rPr>
        <w:t xml:space="preserve"> </w:t>
      </w:r>
      <w:proofErr w:type="spellStart"/>
      <w:r w:rsidR="00323ECF" w:rsidRPr="003B0DCF">
        <w:rPr>
          <w:color w:val="000000" w:themeColor="text1"/>
          <w:sz w:val="28"/>
          <w:szCs w:val="28"/>
          <w:lang w:val="en-US"/>
        </w:rPr>
        <w:t>Representaion</w:t>
      </w:r>
      <w:proofErr w:type="spellEnd"/>
      <w:r w:rsidR="00323ECF" w:rsidRPr="003B0DCF">
        <w:rPr>
          <w:color w:val="000000" w:themeColor="text1"/>
          <w:sz w:val="28"/>
          <w:szCs w:val="28"/>
        </w:rPr>
        <w:t>)</w:t>
      </w:r>
      <w:r w:rsidR="00323ECF" w:rsidRPr="003B0DCF">
        <w:rPr>
          <w:color w:val="000000" w:themeColor="text1"/>
          <w:sz w:val="28"/>
          <w:szCs w:val="28"/>
          <w:vertAlign w:val="superscript"/>
        </w:rPr>
        <w:t xml:space="preserve"> [1]</w:t>
      </w:r>
      <w:r w:rsidRPr="003B0DCF">
        <w:rPr>
          <w:color w:val="000000" w:themeColor="text1"/>
          <w:sz w:val="28"/>
          <w:szCs w:val="28"/>
        </w:rPr>
        <w:t xml:space="preserve">. </w:t>
      </w:r>
      <w:r w:rsidR="00323ECF" w:rsidRPr="003B0DCF">
        <w:rPr>
          <w:color w:val="000000" w:themeColor="text1"/>
          <w:sz w:val="28"/>
          <w:szCs w:val="28"/>
        </w:rPr>
        <w:t xml:space="preserve">В рамках данного подхода </w:t>
      </w:r>
      <w:r w:rsidR="003B0DCF" w:rsidRPr="003B0DCF">
        <w:rPr>
          <w:color w:val="000000" w:themeColor="text1"/>
          <w:sz w:val="28"/>
          <w:szCs w:val="28"/>
        </w:rPr>
        <w:t xml:space="preserve">каждое предложение представляется в виде </w:t>
      </w:r>
      <w:r w:rsidR="003B0DCF" w:rsidRPr="003B0DCF">
        <w:rPr>
          <w:color w:val="000000" w:themeColor="text1"/>
          <w:sz w:val="28"/>
          <w:szCs w:val="28"/>
        </w:rPr>
        <w:t>корневого, направленного ациклического графа с метками на</w:t>
      </w:r>
      <w:r w:rsidR="00BD7A46" w:rsidRPr="00BD7A46">
        <w:rPr>
          <w:color w:val="000000" w:themeColor="text1"/>
          <w:sz w:val="28"/>
          <w:szCs w:val="28"/>
        </w:rPr>
        <w:t xml:space="preserve"> </w:t>
      </w:r>
      <w:r w:rsidR="003B0DCF" w:rsidRPr="003B0DCF">
        <w:rPr>
          <w:color w:val="000000" w:themeColor="text1"/>
          <w:sz w:val="28"/>
          <w:szCs w:val="28"/>
        </w:rPr>
        <w:t>ребрах (отношения</w:t>
      </w:r>
      <w:r w:rsidR="003144DA">
        <w:rPr>
          <w:color w:val="000000" w:themeColor="text1"/>
          <w:sz w:val="28"/>
          <w:szCs w:val="28"/>
        </w:rPr>
        <w:t xml:space="preserve"> между понятиями</w:t>
      </w:r>
      <w:r w:rsidR="003B0DCF" w:rsidRPr="003B0DCF">
        <w:rPr>
          <w:color w:val="000000" w:themeColor="text1"/>
          <w:sz w:val="28"/>
          <w:szCs w:val="28"/>
        </w:rPr>
        <w:t>) и листьях (</w:t>
      </w:r>
      <w:r w:rsidR="003144DA">
        <w:rPr>
          <w:color w:val="000000" w:themeColor="text1"/>
          <w:sz w:val="28"/>
          <w:szCs w:val="28"/>
        </w:rPr>
        <w:t xml:space="preserve">сами </w:t>
      </w:r>
      <w:r w:rsidR="003B0DCF" w:rsidRPr="003B0DCF">
        <w:rPr>
          <w:color w:val="000000" w:themeColor="text1"/>
          <w:sz w:val="28"/>
          <w:szCs w:val="28"/>
        </w:rPr>
        <w:t>понятия)</w:t>
      </w:r>
      <w:r w:rsidR="003B0DCF">
        <w:rPr>
          <w:color w:val="000000" w:themeColor="text1"/>
          <w:sz w:val="28"/>
          <w:szCs w:val="28"/>
        </w:rPr>
        <w:t xml:space="preserve"> </w:t>
      </w:r>
      <w:r w:rsidR="003B0DCF" w:rsidRPr="003B0DCF">
        <w:rPr>
          <w:color w:val="000000" w:themeColor="text1"/>
          <w:sz w:val="28"/>
          <w:szCs w:val="28"/>
          <w:vertAlign w:val="superscript"/>
        </w:rPr>
        <w:t>[2]</w:t>
      </w:r>
      <w:r w:rsidR="003B0DCF" w:rsidRPr="003B0DCF">
        <w:rPr>
          <w:color w:val="000000" w:themeColor="text1"/>
          <w:sz w:val="28"/>
          <w:szCs w:val="28"/>
        </w:rPr>
        <w:t>.</w:t>
      </w:r>
      <w:r w:rsidR="003B0DCF">
        <w:rPr>
          <w:color w:val="000000" w:themeColor="text1"/>
          <w:sz w:val="28"/>
          <w:szCs w:val="28"/>
        </w:rPr>
        <w:t xml:space="preserve"> </w:t>
      </w:r>
      <w:r w:rsidR="00EC7DC8">
        <w:rPr>
          <w:color w:val="000000" w:themeColor="text1"/>
          <w:sz w:val="28"/>
          <w:szCs w:val="28"/>
        </w:rPr>
        <w:t xml:space="preserve">В качестве понятий в </w:t>
      </w:r>
      <w:r w:rsidR="00EC7DC8">
        <w:rPr>
          <w:color w:val="000000" w:themeColor="text1"/>
          <w:sz w:val="28"/>
          <w:szCs w:val="28"/>
          <w:lang w:val="en-US"/>
        </w:rPr>
        <w:t>AMR</w:t>
      </w:r>
      <w:r w:rsidR="00EC7DC8" w:rsidRPr="00C006D4">
        <w:rPr>
          <w:color w:val="000000" w:themeColor="text1"/>
          <w:sz w:val="28"/>
          <w:szCs w:val="28"/>
        </w:rPr>
        <w:t xml:space="preserve"> </w:t>
      </w:r>
      <w:r w:rsidR="00EC7DC8">
        <w:rPr>
          <w:color w:val="000000" w:themeColor="text1"/>
          <w:sz w:val="28"/>
          <w:szCs w:val="28"/>
        </w:rPr>
        <w:t>используются английские слова («</w:t>
      </w:r>
      <w:r w:rsidR="00EC7DC8">
        <w:rPr>
          <w:color w:val="000000" w:themeColor="text1"/>
          <w:sz w:val="28"/>
          <w:szCs w:val="28"/>
          <w:lang w:val="en-US"/>
        </w:rPr>
        <w:t>boy</w:t>
      </w:r>
      <w:r w:rsidR="00EC7DC8">
        <w:rPr>
          <w:color w:val="000000" w:themeColor="text1"/>
          <w:sz w:val="28"/>
          <w:szCs w:val="28"/>
        </w:rPr>
        <w:t>»</w:t>
      </w:r>
      <w:r w:rsidR="00EC7DC8" w:rsidRPr="00C006D4">
        <w:rPr>
          <w:color w:val="000000" w:themeColor="text1"/>
          <w:sz w:val="28"/>
          <w:szCs w:val="28"/>
        </w:rPr>
        <w:t xml:space="preserve"> </w:t>
      </w:r>
      <w:r w:rsidR="00EC7DC8">
        <w:rPr>
          <w:color w:val="000000" w:themeColor="text1"/>
          <w:sz w:val="28"/>
          <w:szCs w:val="28"/>
        </w:rPr>
        <w:t xml:space="preserve">как в примере выше), фреймы из </w:t>
      </w:r>
      <w:proofErr w:type="spellStart"/>
      <w:r w:rsidR="00EC7DC8">
        <w:rPr>
          <w:color w:val="000000" w:themeColor="text1"/>
          <w:sz w:val="28"/>
          <w:szCs w:val="28"/>
          <w:lang w:val="en-US"/>
        </w:rPr>
        <w:t>PropBank</w:t>
      </w:r>
      <w:proofErr w:type="spellEnd"/>
      <w:r w:rsidR="00EC7DC8" w:rsidRPr="00C006D4">
        <w:rPr>
          <w:color w:val="000000" w:themeColor="text1"/>
          <w:sz w:val="28"/>
          <w:szCs w:val="28"/>
        </w:rPr>
        <w:t xml:space="preserve"> (</w:t>
      </w:r>
      <w:r w:rsidR="00EC7DC8">
        <w:rPr>
          <w:color w:val="000000" w:themeColor="text1"/>
          <w:sz w:val="28"/>
          <w:szCs w:val="28"/>
        </w:rPr>
        <w:t>«</w:t>
      </w:r>
      <w:r w:rsidR="00EC7DC8">
        <w:rPr>
          <w:color w:val="000000" w:themeColor="text1"/>
          <w:sz w:val="28"/>
          <w:szCs w:val="28"/>
          <w:lang w:val="en-US"/>
        </w:rPr>
        <w:t>believe</w:t>
      </w:r>
      <w:r w:rsidR="00EC7DC8">
        <w:rPr>
          <w:color w:val="000000" w:themeColor="text1"/>
          <w:sz w:val="28"/>
          <w:szCs w:val="28"/>
        </w:rPr>
        <w:t>-01»</w:t>
      </w:r>
      <w:r w:rsidR="00EC7DC8" w:rsidRPr="00C006D4">
        <w:rPr>
          <w:color w:val="000000" w:themeColor="text1"/>
          <w:sz w:val="28"/>
          <w:szCs w:val="28"/>
        </w:rPr>
        <w:t>)</w:t>
      </w:r>
      <w:r w:rsidR="00EC7DC8" w:rsidRPr="001C1544">
        <w:rPr>
          <w:color w:val="000000" w:themeColor="text1"/>
          <w:sz w:val="28"/>
          <w:szCs w:val="28"/>
        </w:rPr>
        <w:t xml:space="preserve"> </w:t>
      </w:r>
      <w:r w:rsidR="00EC7DC8">
        <w:rPr>
          <w:color w:val="000000" w:themeColor="text1"/>
          <w:sz w:val="28"/>
          <w:szCs w:val="28"/>
        </w:rPr>
        <w:t xml:space="preserve">или ключевые слова, включающие специальные типы сущностей: даты, региона, расстояния и </w:t>
      </w:r>
      <w:proofErr w:type="spellStart"/>
      <w:r w:rsidR="00EC7DC8">
        <w:rPr>
          <w:color w:val="000000" w:themeColor="text1"/>
          <w:sz w:val="28"/>
          <w:szCs w:val="28"/>
        </w:rPr>
        <w:t>др</w:t>
      </w:r>
      <w:proofErr w:type="spellEnd"/>
      <w:r w:rsidR="00123D3E">
        <w:rPr>
          <w:color w:val="000000" w:themeColor="text1"/>
          <w:sz w:val="28"/>
          <w:szCs w:val="28"/>
        </w:rPr>
        <w:t>, и союзы связки: «и», «или»</w:t>
      </w:r>
      <w:r w:rsidR="00EC7DC8">
        <w:rPr>
          <w:color w:val="000000" w:themeColor="text1"/>
          <w:sz w:val="28"/>
          <w:szCs w:val="28"/>
        </w:rPr>
        <w:t>.</w:t>
      </w:r>
    </w:p>
    <w:p w:rsidR="00F76145" w:rsidRDefault="003144DA" w:rsidP="00EC7DC8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AMR</w:t>
      </w:r>
      <w:r w:rsidRPr="003144D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учитывает все слова предложения, но при этом</w:t>
      </w:r>
      <w:r w:rsidRPr="003144D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он является абстрактным, то есть один граф может представлять несколько</w:t>
      </w:r>
      <w:r w:rsidR="00DC2731">
        <w:rPr>
          <w:color w:val="000000" w:themeColor="text1"/>
          <w:sz w:val="28"/>
          <w:szCs w:val="28"/>
        </w:rPr>
        <w:t xml:space="preserve"> разных</w:t>
      </w:r>
      <w:r>
        <w:rPr>
          <w:color w:val="000000" w:themeColor="text1"/>
          <w:sz w:val="28"/>
          <w:szCs w:val="28"/>
        </w:rPr>
        <w:t xml:space="preserve"> предложений на естественном языке со схожим смыслом. </w:t>
      </w:r>
      <w:r w:rsidR="00DC2731">
        <w:rPr>
          <w:color w:val="000000" w:themeColor="text1"/>
          <w:sz w:val="28"/>
          <w:szCs w:val="28"/>
        </w:rPr>
        <w:t xml:space="preserve">В качестве примера можно привести следующий набор предложений: </w:t>
      </w:r>
    </w:p>
    <w:p w:rsidR="00DC2731" w:rsidRPr="00595E5C" w:rsidRDefault="00DC2731" w:rsidP="00DC2731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595E5C">
        <w:rPr>
          <w:color w:val="222222"/>
          <w:sz w:val="28"/>
          <w:szCs w:val="28"/>
          <w:shd w:val="clear" w:color="auto" w:fill="FFFFFF"/>
          <w:lang w:val="en-US"/>
        </w:rPr>
        <w:t>The boy desires the girl to believe him</w:t>
      </w:r>
      <w:r w:rsidRPr="00595E5C">
        <w:rPr>
          <w:color w:val="222222"/>
          <w:sz w:val="28"/>
          <w:szCs w:val="28"/>
          <w:shd w:val="clear" w:color="auto" w:fill="FFFFFF"/>
          <w:lang w:val="en-US"/>
        </w:rPr>
        <w:t>;</w:t>
      </w:r>
    </w:p>
    <w:p w:rsidR="00DC2731" w:rsidRPr="00595E5C" w:rsidRDefault="00DC2731" w:rsidP="00DC2731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595E5C">
        <w:rPr>
          <w:color w:val="222222"/>
          <w:sz w:val="28"/>
          <w:szCs w:val="28"/>
          <w:shd w:val="clear" w:color="auto" w:fill="FFFFFF"/>
          <w:lang w:val="en-US"/>
        </w:rPr>
        <w:t>The boy desires to be believed by the girl</w:t>
      </w:r>
      <w:r w:rsidRPr="00595E5C">
        <w:rPr>
          <w:color w:val="222222"/>
          <w:sz w:val="28"/>
          <w:szCs w:val="28"/>
          <w:shd w:val="clear" w:color="auto" w:fill="FFFFFF"/>
          <w:lang w:val="en-US"/>
        </w:rPr>
        <w:t>;</w:t>
      </w:r>
    </w:p>
    <w:p w:rsidR="00DC2731" w:rsidRPr="00595E5C" w:rsidRDefault="00DC2731" w:rsidP="00DC2731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595E5C">
        <w:rPr>
          <w:color w:val="222222"/>
          <w:sz w:val="28"/>
          <w:szCs w:val="28"/>
          <w:shd w:val="clear" w:color="auto" w:fill="FFFFFF"/>
          <w:lang w:val="en-US"/>
        </w:rPr>
        <w:t>The boy has a desire to be believed by the girl</w:t>
      </w:r>
      <w:r w:rsidRPr="00595E5C">
        <w:rPr>
          <w:color w:val="222222"/>
          <w:sz w:val="28"/>
          <w:szCs w:val="28"/>
          <w:shd w:val="clear" w:color="auto" w:fill="FFFFFF"/>
          <w:lang w:val="en-US"/>
        </w:rPr>
        <w:t>;</w:t>
      </w:r>
    </w:p>
    <w:p w:rsidR="00DC2731" w:rsidRPr="00595E5C" w:rsidRDefault="00DC2731" w:rsidP="00DC2731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595E5C">
        <w:rPr>
          <w:color w:val="222222"/>
          <w:sz w:val="28"/>
          <w:szCs w:val="28"/>
          <w:shd w:val="clear" w:color="auto" w:fill="FFFFFF"/>
          <w:lang w:val="en-US"/>
        </w:rPr>
        <w:t>The boy’s desire is for the girl to believe him</w:t>
      </w:r>
      <w:r w:rsidRPr="00595E5C">
        <w:rPr>
          <w:color w:val="222222"/>
          <w:sz w:val="28"/>
          <w:szCs w:val="28"/>
          <w:shd w:val="clear" w:color="auto" w:fill="FFFFFF"/>
          <w:lang w:val="en-US"/>
        </w:rPr>
        <w:t>.</w:t>
      </w:r>
    </w:p>
    <w:p w:rsidR="00DC2731" w:rsidRDefault="00DC2731" w:rsidP="00C006D4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У перечисленных выше предложений будет од</w:t>
      </w:r>
      <w:r w:rsidR="00D33703">
        <w:rPr>
          <w:color w:val="000000" w:themeColor="text1"/>
          <w:sz w:val="28"/>
          <w:szCs w:val="28"/>
        </w:rPr>
        <w:t>инаковое описание семантической структуры</w:t>
      </w:r>
      <w:r w:rsidR="00C006D4">
        <w:rPr>
          <w:color w:val="000000" w:themeColor="text1"/>
          <w:sz w:val="28"/>
          <w:szCs w:val="28"/>
        </w:rPr>
        <w:t xml:space="preserve"> (листинг 1).</w:t>
      </w:r>
    </w:p>
    <w:p w:rsidR="00C006D4" w:rsidRPr="00C006D4" w:rsidRDefault="00C006D4" w:rsidP="00C006D4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1 – Пример </w:t>
      </w:r>
      <w:r>
        <w:rPr>
          <w:color w:val="000000" w:themeColor="text1"/>
          <w:sz w:val="28"/>
          <w:szCs w:val="28"/>
          <w:lang w:val="en-US"/>
        </w:rPr>
        <w:t>AMR</w:t>
      </w:r>
    </w:p>
    <w:p w:rsidR="00D33703" w:rsidRPr="00D33703" w:rsidRDefault="00D33703" w:rsidP="00D3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eastAsia="ru-RU"/>
        </w:rPr>
      </w:pPr>
      <w:r w:rsidRPr="00D33703">
        <w:rPr>
          <w:rFonts w:ascii="Consolas" w:eastAsia="Times New Roman" w:hAnsi="Consolas" w:cs="Courier New"/>
          <w:color w:val="24292F"/>
          <w:sz w:val="24"/>
          <w:szCs w:val="24"/>
          <w:lang w:eastAsia="ru-RU"/>
        </w:rPr>
        <w:t>(</w:t>
      </w:r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>w</w:t>
      </w:r>
      <w:r w:rsidRPr="00D33703">
        <w:rPr>
          <w:rFonts w:ascii="Consolas" w:eastAsia="Times New Roman" w:hAnsi="Consolas" w:cs="Courier New"/>
          <w:color w:val="24292F"/>
          <w:sz w:val="24"/>
          <w:szCs w:val="24"/>
          <w:lang w:eastAsia="ru-RU"/>
        </w:rPr>
        <w:t xml:space="preserve"> / </w:t>
      </w:r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>want</w:t>
      </w:r>
      <w:r w:rsidRPr="00D33703">
        <w:rPr>
          <w:rFonts w:ascii="Consolas" w:eastAsia="Times New Roman" w:hAnsi="Consolas" w:cs="Courier New"/>
          <w:color w:val="24292F"/>
          <w:sz w:val="24"/>
          <w:szCs w:val="24"/>
          <w:lang w:eastAsia="ru-RU"/>
        </w:rPr>
        <w:t>-01</w:t>
      </w:r>
    </w:p>
    <w:p w:rsidR="00D33703" w:rsidRPr="00D33703" w:rsidRDefault="00D33703" w:rsidP="00D3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</w:pPr>
      <w:r w:rsidRPr="00D33703">
        <w:rPr>
          <w:rFonts w:ascii="Consolas" w:eastAsia="Times New Roman" w:hAnsi="Consolas" w:cs="Courier New"/>
          <w:color w:val="24292F"/>
          <w:sz w:val="24"/>
          <w:szCs w:val="24"/>
          <w:lang w:eastAsia="ru-RU"/>
        </w:rPr>
        <w:t xml:space="preserve"> </w:t>
      </w:r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>:ARG0 (b / boy)</w:t>
      </w:r>
    </w:p>
    <w:p w:rsidR="00D33703" w:rsidRPr="00D33703" w:rsidRDefault="00D33703" w:rsidP="00D3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</w:pPr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 xml:space="preserve"> :ARG1 (b2 / believe-01</w:t>
      </w:r>
    </w:p>
    <w:p w:rsidR="00D33703" w:rsidRPr="00D33703" w:rsidRDefault="00D33703" w:rsidP="00D3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</w:pPr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 xml:space="preserve"> :ARG0 (g / girl)</w:t>
      </w:r>
    </w:p>
    <w:p w:rsidR="00D33703" w:rsidRDefault="00D33703" w:rsidP="00EC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eastAsia="ru-RU"/>
        </w:rPr>
      </w:pPr>
      <w:r w:rsidRPr="00D33703"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  <w:t xml:space="preserve"> </w:t>
      </w:r>
      <w:r w:rsidRPr="00D33703">
        <w:rPr>
          <w:rFonts w:ascii="Consolas" w:eastAsia="Times New Roman" w:hAnsi="Consolas" w:cs="Courier New"/>
          <w:color w:val="24292F"/>
          <w:sz w:val="24"/>
          <w:szCs w:val="24"/>
          <w:lang w:eastAsia="ru-RU"/>
        </w:rPr>
        <w:t>:ARG1 b))</w:t>
      </w:r>
    </w:p>
    <w:p w:rsidR="00EC7DC8" w:rsidRDefault="00EC7DC8" w:rsidP="00EC7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8"/>
          <w:szCs w:val="28"/>
        </w:rPr>
      </w:pPr>
    </w:p>
    <w:p w:rsidR="00A87CC0" w:rsidRDefault="00A87CC0" w:rsidP="00EA29C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этом примере проявляется возможность </w:t>
      </w:r>
      <w:r>
        <w:rPr>
          <w:color w:val="000000" w:themeColor="text1"/>
          <w:sz w:val="28"/>
          <w:szCs w:val="28"/>
          <w:lang w:val="en-US"/>
        </w:rPr>
        <w:t>AMR</w:t>
      </w:r>
      <w:r w:rsidRPr="00A87CC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абстрагироваться от синтаксической структур</w:t>
      </w:r>
      <w:r w:rsidR="00EA29C3">
        <w:rPr>
          <w:color w:val="000000" w:themeColor="text1"/>
          <w:sz w:val="28"/>
          <w:szCs w:val="28"/>
        </w:rPr>
        <w:t>ы, что позволяет выделять</w:t>
      </w:r>
      <w:r w:rsidR="00EC7DC8">
        <w:rPr>
          <w:color w:val="000000" w:themeColor="text1"/>
          <w:sz w:val="28"/>
          <w:szCs w:val="28"/>
        </w:rPr>
        <w:t xml:space="preserve"> </w:t>
      </w:r>
      <w:r w:rsidR="00EC7DC8">
        <w:rPr>
          <w:color w:val="000000" w:themeColor="text1"/>
          <w:sz w:val="28"/>
          <w:szCs w:val="28"/>
        </w:rPr>
        <w:t>предложения</w:t>
      </w:r>
      <w:r w:rsidR="00EC7DC8">
        <w:rPr>
          <w:color w:val="000000" w:themeColor="text1"/>
          <w:sz w:val="28"/>
          <w:szCs w:val="28"/>
        </w:rPr>
        <w:t xml:space="preserve"> с разной синтаксической</w:t>
      </w:r>
      <w:r w:rsidR="00EA29C3">
        <w:rPr>
          <w:color w:val="000000" w:themeColor="text1"/>
          <w:sz w:val="28"/>
          <w:szCs w:val="28"/>
        </w:rPr>
        <w:t xml:space="preserve"> структур</w:t>
      </w:r>
      <w:r w:rsidR="00EC7DC8">
        <w:rPr>
          <w:color w:val="000000" w:themeColor="text1"/>
          <w:sz w:val="28"/>
          <w:szCs w:val="28"/>
        </w:rPr>
        <w:t>ой, но</w:t>
      </w:r>
      <w:r w:rsidR="00EA29C3">
        <w:rPr>
          <w:color w:val="000000" w:themeColor="text1"/>
          <w:sz w:val="28"/>
          <w:szCs w:val="28"/>
        </w:rPr>
        <w:t xml:space="preserve"> с одинаковой семантической.</w:t>
      </w:r>
    </w:p>
    <w:p w:rsidR="00A87CC0" w:rsidRPr="00A87CC0" w:rsidRDefault="00123D3E" w:rsidP="001C1544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Хоть </w:t>
      </w:r>
      <w:r>
        <w:rPr>
          <w:color w:val="000000" w:themeColor="text1"/>
          <w:sz w:val="28"/>
          <w:szCs w:val="28"/>
          <w:lang w:val="en-US"/>
        </w:rPr>
        <w:t>AMR</w:t>
      </w:r>
      <w:r>
        <w:rPr>
          <w:color w:val="000000" w:themeColor="text1"/>
          <w:sz w:val="28"/>
          <w:szCs w:val="28"/>
        </w:rPr>
        <w:t xml:space="preserve"> и не зависит от синтаксических особенностей, но он рассчитан только для описания семантической структуры предложений</w:t>
      </w:r>
      <w:r w:rsidR="004F4A4F">
        <w:rPr>
          <w:color w:val="000000" w:themeColor="text1"/>
          <w:sz w:val="28"/>
          <w:szCs w:val="28"/>
        </w:rPr>
        <w:t xml:space="preserve"> только</w:t>
      </w:r>
      <w:r>
        <w:rPr>
          <w:color w:val="000000" w:themeColor="text1"/>
          <w:sz w:val="28"/>
          <w:szCs w:val="28"/>
        </w:rPr>
        <w:t xml:space="preserve"> на английском языке </w:t>
      </w:r>
      <w:r w:rsidR="004F4A4F">
        <w:rPr>
          <w:color w:val="000000" w:themeColor="text1"/>
          <w:sz w:val="28"/>
          <w:szCs w:val="28"/>
        </w:rPr>
        <w:t>и без взаимосвязи с предыдущими предложениями.</w:t>
      </w:r>
      <w:r w:rsidR="00557491" w:rsidRPr="00A87CC0">
        <w:rPr>
          <w:color w:val="000000" w:themeColor="text1"/>
          <w:sz w:val="28"/>
          <w:szCs w:val="28"/>
        </w:rPr>
        <w:t xml:space="preserve"> </w:t>
      </w:r>
    </w:p>
    <w:p w:rsidR="007F3356" w:rsidRPr="00F76145" w:rsidRDefault="007F3356" w:rsidP="007F3356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b/>
          <w:bCs/>
          <w:color w:val="2C2D2E"/>
        </w:rPr>
      </w:pPr>
      <w:r w:rsidRPr="00F76145">
        <w:rPr>
          <w:b/>
          <w:bCs/>
          <w:color w:val="2C2D2E"/>
          <w:sz w:val="32"/>
          <w:szCs w:val="32"/>
        </w:rPr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</w:p>
    <w:p w:rsidR="007F3356" w:rsidRDefault="007F3356" w:rsidP="007F3356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b/>
          <w:bCs/>
          <w:color w:val="2C2D2E"/>
          <w:sz w:val="32"/>
          <w:szCs w:val="32"/>
          <w:lang w:val="en-US"/>
        </w:rPr>
      </w:pPr>
      <w:bookmarkStart w:id="1" w:name="_Hlk92269033"/>
      <w:r w:rsidRPr="00F76145">
        <w:rPr>
          <w:b/>
          <w:bCs/>
          <w:color w:val="2C2D2E"/>
          <w:sz w:val="32"/>
          <w:szCs w:val="32"/>
        </w:rPr>
        <w:t>Основные подходы к разработке интеллектуальных интерфейсо</w:t>
      </w:r>
      <w:bookmarkEnd w:id="1"/>
      <w:r w:rsidRPr="00F76145">
        <w:rPr>
          <w:b/>
          <w:bCs/>
          <w:color w:val="2C2D2E"/>
          <w:sz w:val="32"/>
          <w:szCs w:val="32"/>
        </w:rPr>
        <w:t>в для преобразования запроса к </w:t>
      </w:r>
      <w:r w:rsidRPr="00F76145">
        <w:rPr>
          <w:b/>
          <w:bCs/>
          <w:color w:val="2C2D2E"/>
          <w:sz w:val="32"/>
          <w:szCs w:val="32"/>
          <w:lang w:val="en-US"/>
        </w:rPr>
        <w:t>LOD </w:t>
      </w:r>
      <w:r w:rsidRPr="00F76145">
        <w:rPr>
          <w:b/>
          <w:bCs/>
          <w:color w:val="2C2D2E"/>
          <w:sz w:val="32"/>
          <w:szCs w:val="32"/>
        </w:rPr>
        <w:t>на ЕЯ в запросы на языке </w:t>
      </w:r>
      <w:r w:rsidRPr="00F76145">
        <w:rPr>
          <w:b/>
          <w:bCs/>
          <w:color w:val="2C2D2E"/>
          <w:sz w:val="32"/>
          <w:szCs w:val="32"/>
          <w:lang w:val="en-US"/>
        </w:rPr>
        <w:t>SPARQL</w:t>
      </w:r>
    </w:p>
    <w:p w:rsidR="00253FC4" w:rsidRPr="00253FC4" w:rsidRDefault="00253FC4" w:rsidP="007F3356">
      <w:pPr>
        <w:pStyle w:val="msonormalmrcssattr"/>
        <w:shd w:val="clear" w:color="auto" w:fill="FFFFFF"/>
        <w:spacing w:before="0" w:beforeAutospacing="0" w:after="160" w:afterAutospacing="0" w:line="235" w:lineRule="atLeast"/>
        <w:jc w:val="both"/>
        <w:rPr>
          <w:color w:val="FF0000"/>
          <w:lang w:val="en-US"/>
        </w:rPr>
      </w:pPr>
      <w:proofErr w:type="spellStart"/>
      <w:r w:rsidRPr="00253FC4">
        <w:rPr>
          <w:color w:val="FF0000"/>
          <w:lang w:val="en-US"/>
        </w:rPr>
        <w:t>Ferre</w:t>
      </w:r>
      <w:proofErr w:type="spellEnd"/>
      <w:r w:rsidRPr="00253FC4">
        <w:rPr>
          <w:color w:val="FF0000"/>
          <w:lang w:val="en-US"/>
        </w:rPr>
        <w:t xml:space="preserve"> </w:t>
      </w:r>
      <w:proofErr w:type="spellStart"/>
      <w:r w:rsidRPr="00253FC4">
        <w:rPr>
          <w:color w:val="FF0000"/>
          <w:shd w:val="clear" w:color="auto" w:fill="FFFFFF"/>
          <w:lang w:val="en-US"/>
        </w:rPr>
        <w:t>Sparklis</w:t>
      </w:r>
      <w:proofErr w:type="spellEnd"/>
      <w:r w:rsidRPr="00253FC4">
        <w:rPr>
          <w:color w:val="FF0000"/>
          <w:shd w:val="clear" w:color="auto" w:fill="FFFFFF"/>
          <w:lang w:val="en-US"/>
        </w:rPr>
        <w:t>: An expressive query builder for SPARQL endpoints with guidance in natural language</w:t>
      </w:r>
      <w:r>
        <w:rPr>
          <w:color w:val="FF0000"/>
          <w:shd w:val="clear" w:color="auto" w:fill="FFFFFF"/>
          <w:lang w:val="en-US"/>
        </w:rPr>
        <w:t xml:space="preserve"> + 1</w:t>
      </w:r>
    </w:p>
    <w:p w:rsidR="0061179B" w:rsidRPr="00253FC4" w:rsidRDefault="0061179B">
      <w:pPr>
        <w:rPr>
          <w:lang w:val="en-US"/>
        </w:rPr>
      </w:pPr>
    </w:p>
    <w:p w:rsidR="00323ECF" w:rsidRPr="00253FC4" w:rsidRDefault="00323E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3ECF">
        <w:rPr>
          <w:rFonts w:ascii="Times New Roman" w:hAnsi="Times New Roman" w:cs="Times New Roman"/>
          <w:b/>
          <w:bCs/>
          <w:sz w:val="32"/>
          <w:szCs w:val="32"/>
        </w:rPr>
        <w:t>Список</w:t>
      </w:r>
      <w:r w:rsidRPr="00253FC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23ECF">
        <w:rPr>
          <w:rFonts w:ascii="Times New Roman" w:hAnsi="Times New Roman" w:cs="Times New Roman"/>
          <w:b/>
          <w:bCs/>
          <w:sz w:val="32"/>
          <w:szCs w:val="32"/>
        </w:rPr>
        <w:t>литературы</w:t>
      </w:r>
    </w:p>
    <w:p w:rsidR="00323ECF" w:rsidRDefault="00323ECF" w:rsidP="00323ECF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3ECF">
        <w:rPr>
          <w:rFonts w:ascii="Times New Roman" w:hAnsi="Times New Roman" w:cs="Times New Roman"/>
          <w:sz w:val="28"/>
          <w:szCs w:val="28"/>
          <w:lang w:val="en-US"/>
        </w:rPr>
        <w:t>Banarescu</w:t>
      </w:r>
      <w:proofErr w:type="spellEnd"/>
      <w:r w:rsidRPr="00323ECF">
        <w:rPr>
          <w:rFonts w:ascii="Times New Roman" w:hAnsi="Times New Roman" w:cs="Times New Roman"/>
          <w:sz w:val="28"/>
          <w:szCs w:val="28"/>
          <w:lang w:val="en-US"/>
        </w:rPr>
        <w:t xml:space="preserve">, L., </w:t>
      </w:r>
      <w:proofErr w:type="spellStart"/>
      <w:r w:rsidRPr="00323ECF">
        <w:rPr>
          <w:rFonts w:ascii="Times New Roman" w:hAnsi="Times New Roman" w:cs="Times New Roman"/>
          <w:sz w:val="28"/>
          <w:szCs w:val="28"/>
          <w:lang w:val="en-US"/>
        </w:rPr>
        <w:t>Bonial</w:t>
      </w:r>
      <w:proofErr w:type="spellEnd"/>
      <w:r w:rsidRPr="00323ECF">
        <w:rPr>
          <w:rFonts w:ascii="Times New Roman" w:hAnsi="Times New Roman" w:cs="Times New Roman"/>
          <w:sz w:val="28"/>
          <w:szCs w:val="28"/>
          <w:lang w:val="en-US"/>
        </w:rPr>
        <w:t xml:space="preserve">, C., Cai, S., Georgescu, M., </w:t>
      </w:r>
      <w:proofErr w:type="spellStart"/>
      <w:r w:rsidRPr="00323ECF">
        <w:rPr>
          <w:rFonts w:ascii="Times New Roman" w:hAnsi="Times New Roman" w:cs="Times New Roman"/>
          <w:sz w:val="28"/>
          <w:szCs w:val="28"/>
          <w:lang w:val="en-US"/>
        </w:rPr>
        <w:t>Griffitt</w:t>
      </w:r>
      <w:proofErr w:type="spellEnd"/>
      <w:r w:rsidRPr="00323ECF">
        <w:rPr>
          <w:rFonts w:ascii="Times New Roman" w:hAnsi="Times New Roman" w:cs="Times New Roman"/>
          <w:sz w:val="28"/>
          <w:szCs w:val="28"/>
          <w:lang w:val="en-US"/>
        </w:rPr>
        <w:t xml:space="preserve">, K., </w:t>
      </w:r>
      <w:proofErr w:type="spellStart"/>
      <w:r w:rsidRPr="00323ECF">
        <w:rPr>
          <w:rFonts w:ascii="Times New Roman" w:hAnsi="Times New Roman" w:cs="Times New Roman"/>
          <w:sz w:val="28"/>
          <w:szCs w:val="28"/>
          <w:lang w:val="en-US"/>
        </w:rPr>
        <w:t>Hermjakob</w:t>
      </w:r>
      <w:proofErr w:type="spellEnd"/>
      <w:r w:rsidRPr="00323ECF">
        <w:rPr>
          <w:rFonts w:ascii="Times New Roman" w:hAnsi="Times New Roman" w:cs="Times New Roman"/>
          <w:sz w:val="28"/>
          <w:szCs w:val="28"/>
          <w:lang w:val="en-US"/>
        </w:rPr>
        <w:t xml:space="preserve">, U., Knight, K., Koehn, P., Palmer, M., Schneider, N. (2013).  Abstract Meaning Representation for </w:t>
      </w:r>
      <w:proofErr w:type="spellStart"/>
      <w:r w:rsidRPr="00323ECF">
        <w:rPr>
          <w:rFonts w:ascii="Times New Roman" w:hAnsi="Times New Roman" w:cs="Times New Roman"/>
          <w:sz w:val="28"/>
          <w:szCs w:val="28"/>
          <w:lang w:val="en-US"/>
        </w:rPr>
        <w:t>Sembanking</w:t>
      </w:r>
      <w:proofErr w:type="spellEnd"/>
      <w:r w:rsidRPr="00323ECF">
        <w:rPr>
          <w:rFonts w:ascii="Times New Roman" w:hAnsi="Times New Roman" w:cs="Times New Roman"/>
          <w:sz w:val="28"/>
          <w:szCs w:val="28"/>
          <w:lang w:val="en-US"/>
        </w:rPr>
        <w:t>. In: Proceedings of the 7th ACL Linguistic Annotation Workshop and Interoperability with Discourse, Sofia, Bulgaria, August 8-9, 2013 (2013)(</w:t>
      </w:r>
      <w:hyperlink r:id="rId6" w:history="1">
        <w:r w:rsidR="003B0DCF" w:rsidRPr="00B126E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www.aclweb.org/anthology/W13-2322</w:t>
        </w:r>
      </w:hyperlink>
      <w:r w:rsidRPr="00323EC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B0DCF" w:rsidRPr="003B0DCF" w:rsidRDefault="003B0DCF" w:rsidP="00323ECF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D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Banarescu</w:t>
      </w:r>
      <w:proofErr w:type="spellEnd"/>
      <w:r w:rsidRPr="003B0D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 w:rsidRPr="003B0D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Bonial</w:t>
      </w:r>
      <w:proofErr w:type="spellEnd"/>
      <w:r w:rsidRPr="003B0D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C., Cai, S., Georgescu, M., </w:t>
      </w:r>
      <w:proofErr w:type="spellStart"/>
      <w:r w:rsidRPr="003B0D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Griffitt</w:t>
      </w:r>
      <w:proofErr w:type="spellEnd"/>
      <w:r w:rsidRPr="003B0D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 w:rsidRPr="003B0D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Hermjakob</w:t>
      </w:r>
      <w:proofErr w:type="spellEnd"/>
      <w:r w:rsidRPr="003B0D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U., Knight, K., Koehn, P., Palmer, M., Schneider, N. (2019).   </w:t>
      </w:r>
      <w:r w:rsidRPr="003B0DC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Abstract Meaning Representation (AMR) 1.2.6 Specification</w:t>
      </w:r>
      <w:r w:rsidRPr="003B0D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 </w:t>
      </w:r>
      <w:hyperlink r:id="rId7" w:tgtFrame="_blank" w:history="1">
        <w:r w:rsidRPr="003B0DCF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github.com/amrisi/amr-guidelines/blob/master/amr.md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sectPr w:rsidR="003B0DCF" w:rsidRPr="003B0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A7BA8"/>
    <w:multiLevelType w:val="hybridMultilevel"/>
    <w:tmpl w:val="08A89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51C70"/>
    <w:multiLevelType w:val="hybridMultilevel"/>
    <w:tmpl w:val="6FAA49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A6"/>
    <w:rsid w:val="000D0200"/>
    <w:rsid w:val="00104B09"/>
    <w:rsid w:val="00123D3E"/>
    <w:rsid w:val="001847B8"/>
    <w:rsid w:val="001C1544"/>
    <w:rsid w:val="00253FC4"/>
    <w:rsid w:val="00254D8D"/>
    <w:rsid w:val="003144DA"/>
    <w:rsid w:val="00323ECF"/>
    <w:rsid w:val="00372E57"/>
    <w:rsid w:val="003B0DCF"/>
    <w:rsid w:val="004A4951"/>
    <w:rsid w:val="004F4A4F"/>
    <w:rsid w:val="00557491"/>
    <w:rsid w:val="00595E5C"/>
    <w:rsid w:val="0061179B"/>
    <w:rsid w:val="00697FE0"/>
    <w:rsid w:val="007C43F0"/>
    <w:rsid w:val="007F3356"/>
    <w:rsid w:val="008B2AEF"/>
    <w:rsid w:val="00975066"/>
    <w:rsid w:val="009A349C"/>
    <w:rsid w:val="00A62B5A"/>
    <w:rsid w:val="00A87CC0"/>
    <w:rsid w:val="00BC39A6"/>
    <w:rsid w:val="00BD7A46"/>
    <w:rsid w:val="00C006D4"/>
    <w:rsid w:val="00C81E0B"/>
    <w:rsid w:val="00CA76A3"/>
    <w:rsid w:val="00D04D46"/>
    <w:rsid w:val="00D33703"/>
    <w:rsid w:val="00DC2731"/>
    <w:rsid w:val="00E673FA"/>
    <w:rsid w:val="00EA29C3"/>
    <w:rsid w:val="00EA5031"/>
    <w:rsid w:val="00EC7DC8"/>
    <w:rsid w:val="00F21DAD"/>
    <w:rsid w:val="00F7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D204"/>
  <w15:chartTrackingRefBased/>
  <w15:docId w15:val="{2DBC8476-901C-4337-AF74-57405C73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7F3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23E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0DC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0DCF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3144D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144D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144D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144D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144D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14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144DA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33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37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D33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amrisi/amr-guidelines/blob/master/amr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lweb.org/anthology/W13-2322" TargetMode="External"/><Relationship Id="rId5" Type="http://schemas.openxmlformats.org/officeDocument/2006/relationships/hyperlink" Target="https://www.w3.org/TR/rdf-sparql-que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Nemo</cp:lastModifiedBy>
  <cp:revision>7</cp:revision>
  <dcterms:created xsi:type="dcterms:W3CDTF">2022-01-05T06:18:00Z</dcterms:created>
  <dcterms:modified xsi:type="dcterms:W3CDTF">2022-01-05T17:51:00Z</dcterms:modified>
</cp:coreProperties>
</file>