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St. Luca Medical Clinic – Interior Design / Healthcare – Fetești, Romania – 2024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project responds to the pressing need for modern, community-oriented medical infrastructure in southern Romania. Small-scale private clinics play a crucial role in providing accessible healthcare, and this facility was conceived as both a functional treatment space and a welcoming interface between the residents of Fetești and contemporary medical care.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Situated on the ground floor of a residential building, the facility opens generously toward the city through expansive glazing, reinforcing transparency and accessibility. 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Inside, the rounded geometry of walls enhances spatial flow, softening transitions and making circulation intuitive and welcoming. These curves are not only a spatial device but also a strategy for durability and maintenance in high-traffic areas. By funneling natural light deeper into the core, the rounded surfaces amplify brightness along the corridor, reducing reliance on artificial lighting and creating a more uplifting atmosphere for patients and staff alike.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Materiality was carefully selected to balance performance and aesthetics. Surfaces are robust, easy to maintain, and hygienically suitable for a medical environment, while also contributing to a calm and reassuring atmosphere.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result is a medical facility that transcends its purely functional role—becoming a civic presence that fosters trust, comfort, and connection between healthcare and community life.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