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Technical Report 2026</w:t>
      </w:r>
    </w:p>
    <w:p>
      <w:r>
        <w:rPr>
          <w:i/>
        </w:rPr>
        <w:t>doc2md Test Fixture: headings, tables, bullet lists</w:t>
      </w:r>
    </w:p>
    <w:p>
      <w:pPr>
        <w:pStyle w:val="Heading1"/>
      </w:pPr>
      <w:r>
        <w:t>1. Executive Summary</w:t>
      </w:r>
    </w:p>
    <w:p>
      <w:r>
        <w:t>This report covers fiscal year 2026 performance. Throughput improved 23%, latency fell by 18ms, and three major platform upgrades were shipped.</w:t>
      </w:r>
    </w:p>
    <w:p>
      <w:pPr>
        <w:pStyle w:val="Heading1"/>
      </w:pPr>
      <w:r>
        <w:t>2. Performance Metrics</w:t>
      </w:r>
    </w:p>
    <w:p>
      <w:pPr>
        <w:pStyle w:val="Heading2"/>
      </w:pPr>
      <w:r>
        <w:t>2.1 Quarterly Throughput</w:t>
      </w:r>
    </w:p>
    <w:p>
      <w:r>
        <w:t>Throughput rose each quarter; Q4 peak driven by the caching layer.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Quarter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Req/s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Latency ms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%</w:t>
            </w:r>
          </w:p>
        </w:tc>
      </w:tr>
      <w:tr>
        <w:tc>
          <w:tcPr>
            <w:tcW w:type="dxa" w:w="2160"/>
          </w:tcPr>
          <w:p>
            <w:r>
              <w:t>Q1 2026</w:t>
            </w:r>
          </w:p>
        </w:tc>
        <w:tc>
          <w:tcPr>
            <w:tcW w:type="dxa" w:w="2160"/>
          </w:tcPr>
          <w:p>
            <w:r>
              <w:t>12,450</w:t>
            </w:r>
          </w:p>
        </w:tc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</w:tr>
      <w:tr>
        <w:tc>
          <w:tcPr>
            <w:tcW w:type="dxa" w:w="2160"/>
          </w:tcPr>
          <w:p>
            <w:r>
              <w:t>Q2 2026</w:t>
            </w:r>
          </w:p>
        </w:tc>
        <w:tc>
          <w:tcPr>
            <w:tcW w:type="dxa" w:w="2160"/>
          </w:tcPr>
          <w:p>
            <w:r>
              <w:t>14,200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0.09</w:t>
            </w:r>
          </w:p>
        </w:tc>
      </w:tr>
      <w:tr>
        <w:tc>
          <w:tcPr>
            <w:tcW w:type="dxa" w:w="2160"/>
          </w:tcPr>
          <w:p>
            <w:r>
              <w:t>Q3 2026</w:t>
            </w:r>
          </w:p>
        </w:tc>
        <w:tc>
          <w:tcPr>
            <w:tcW w:type="dxa" w:w="2160"/>
          </w:tcPr>
          <w:p>
            <w:r>
              <w:t>15,800</w:t>
            </w:r>
          </w:p>
        </w:tc>
        <w:tc>
          <w:tcPr>
            <w:tcW w:type="dxa" w:w="2160"/>
          </w:tcPr>
          <w:p>
            <w:r>
              <w:t>131</w:t>
            </w:r>
          </w:p>
        </w:tc>
        <w:tc>
          <w:tcPr>
            <w:tcW w:type="dxa" w:w="2160"/>
          </w:tcPr>
          <w:p>
            <w:r>
              <w:t>0.08</w:t>
            </w:r>
          </w:p>
        </w:tc>
      </w:tr>
      <w:tr>
        <w:tc>
          <w:tcPr>
            <w:tcW w:type="dxa" w:w="2160"/>
          </w:tcPr>
          <w:p>
            <w:r>
              <w:t>Q4 2026</w:t>
            </w:r>
          </w:p>
        </w:tc>
        <w:tc>
          <w:tcPr>
            <w:tcW w:type="dxa" w:w="2160"/>
          </w:tcPr>
          <w:p>
            <w:r>
              <w:t>16,500</w:t>
            </w:r>
          </w:p>
        </w:tc>
        <w:tc>
          <w:tcPr>
            <w:tcW w:type="dxa" w:w="2160"/>
          </w:tcPr>
          <w:p>
            <w:r>
              <w:t>124</w:t>
            </w:r>
          </w:p>
        </w:tc>
        <w:tc>
          <w:tcPr>
            <w:tcW w:type="dxa" w:w="2160"/>
          </w:tcPr>
          <w:p>
            <w:r>
              <w:t>0.06</w:t>
            </w:r>
          </w:p>
        </w:tc>
      </w:tr>
    </w:tbl>
    <w:p>
      <w:pPr>
        <w:pStyle w:val="Heading1"/>
      </w:pPr>
      <w:r>
        <w:t>3. Key Achievements</w:t>
      </w:r>
    </w:p>
    <w:p>
      <w:pPr>
        <w:pStyle w:val="ListBullet"/>
      </w:pPr>
      <w:r>
        <w:t>Caching layer reduced DB load by 40%.</w:t>
      </w:r>
    </w:p>
    <w:p>
      <w:pPr>
        <w:pStyle w:val="ListBullet"/>
      </w:pPr>
      <w:r>
        <w:t>Migrated CI/CD from Jenkins to GitHub Actions.</w:t>
      </w:r>
    </w:p>
    <w:p>
      <w:pPr>
        <w:pStyle w:val="ListBullet"/>
      </w:pPr>
      <w:r>
        <w:t>Reduced Docker image sizes by 60% (multi-stage builds).</w:t>
      </w:r>
    </w:p>
    <w:p>
      <w:pPr>
        <w:pStyle w:val="ListBullet"/>
      </w:pPr>
      <w:r>
        <w:t>Achieved SOC 2 Type II certification.</w:t>
      </w:r>
    </w:p>
    <w:p>
      <w:pPr>
        <w:pStyle w:val="Heading1"/>
      </w:pPr>
      <w:r>
        <w:t>4. Roadmap 2027</w:t>
      </w:r>
    </w:p>
    <w:p>
      <w:pPr>
        <w:pStyle w:val="ListNumber"/>
      </w:pPr>
      <w:r>
        <w:t>GraphQL API — replace REST endpoints.</w:t>
      </w:r>
    </w:p>
    <w:p>
      <w:pPr>
        <w:pStyle w:val="ListNumber"/>
      </w:pPr>
      <w:r>
        <w:t>Edge Caching — deploy CDN nodes in 12 new regions.</w:t>
      </w:r>
    </w:p>
    <w:p>
      <w:pPr>
        <w:pStyle w:val="ListNumber"/>
      </w:pPr>
      <w:r>
        <w:t>AI Observability — LLM-based anomaly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