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280"/>
        <w:jc w:val="center"/>
      </w:pPr>
      <w:r>
        <w:rPr>
          <w:rFonts w:ascii="Calibri" w:hAnsi="Calibri"/>
          <w:b/>
          <w:color w:val="0B2545"/>
          <w:sz w:val="60"/>
        </w:rPr>
        <w:t>EIOS Enterprise User Manual</w:t>
      </w:r>
    </w:p>
    <w:p>
      <w:pPr>
        <w:spacing w:after="680"/>
        <w:jc w:val="center"/>
      </w:pPr>
      <w:r>
        <w:rPr>
          <w:rFonts w:ascii="Calibri" w:hAnsi="Calibri"/>
          <w:color w:val="2563EB"/>
          <w:sz w:val="30"/>
        </w:rPr>
        <w:t>Administrator, Supervisor, and Enumerator Operations</w:t>
      </w:r>
    </w:p>
    <w:p>
      <w:pPr>
        <w:spacing w:after="200"/>
        <w:jc w:val="center"/>
      </w:pPr>
      <w:r>
        <w:rPr>
          <w:rFonts w:ascii="Calibri" w:hAnsi="Calibri"/>
          <w:b/>
          <w:color w:val="2563EB"/>
          <w:sz w:val="20"/>
        </w:rPr>
        <w:t>ENTERPRISE INTELLIGENCE AND OPERATIONS SYSTEM</w:t>
      </w:r>
    </w:p>
    <w:p>
      <w:r>
        <w:rPr>
          <w:rFonts w:ascii="Calibri" w:hAnsi="Calibri"/>
          <w:i w:val="0"/>
          <w:color w:val="111827"/>
        </w:rPr>
        <w:t>A role-based operating guide for creating surveys and census instruments, deploying field teams, collecting and synchronizing responses, treating data, and producing operational insight.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 xml:space="preserve">Scope: </w:t>
            </w:r>
            <w:r>
              <w:rPr>
                <w:rFonts w:ascii="Calibri" w:hAnsi="Calibri"/>
                <w:color w:val="0B2545"/>
              </w:rPr>
              <w:t>This manual documents the client-facing capabilities verified in EIOS Version 1.0 as of August 2026. Functions that require technical support are clearly identified.</w:t>
            </w:r>
          </w:p>
        </w:tc>
      </w:tr>
    </w:tbl>
    <w:p>
      <w:pPr>
        <w:spacing w:after="0"/>
      </w:pPr>
    </w:p>
    <w:p>
      <w:pPr>
        <w:spacing w:before="900"/>
        <w:jc w:val="center"/>
      </w:pPr>
      <w:r>
        <w:rPr>
          <w:rFonts w:ascii="Calibri" w:hAnsi="Calibri"/>
          <w:b/>
          <w:color w:val="64748B"/>
          <w:sz w:val="22"/>
        </w:rPr>
        <w:t>Prepared for Global Zenith Research and Consulting, Inc.</w:t>
        <w:br/>
        <w:t>August 2026</w:t>
      </w:r>
    </w:p>
    <w:p>
      <w:r>
        <w:br w:type="page"/>
      </w:r>
    </w:p>
    <w:p>
      <w:pPr>
        <w:pStyle w:val="Heading1"/>
      </w:pPr>
      <w:r>
        <w:t>How to Use This Manual</w:t>
      </w:r>
    </w:p>
    <w:p>
      <w:r>
        <w:rPr>
          <w:rFonts w:ascii="Calibri" w:hAnsi="Calibri"/>
          <w:i w:val="0"/>
          <w:color w:val="111827"/>
        </w:rPr>
        <w:t>Use the role pathway that matches your account. Administrators configure and govern the platform. Supervisors monitor deployments and resolve field exceptions. Enumerators conduct interviews and synchronize field records.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750"/>
        <w:gridCol w:w="5060"/>
      </w:tblGrid>
      <w:tr>
        <w:trPr>
          <w:tblHeader w:val="true"/>
        </w:trPr>
        <w:tc>
          <w:tcPr>
            <w:tcW w:type="dxa" w:w="15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27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Primary workspace</w:t>
            </w:r>
          </w:p>
        </w:tc>
        <w:tc>
          <w:tcPr>
            <w:tcW w:type="dxa" w:w="50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Main responsibilities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Administrator</w:t>
            </w:r>
          </w:p>
        </w:tc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Executive Command Center / Administration / Survey Engineering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Identity management, enterprise settings, survey design, publishing, deployment, analytics, GIS, and system readiness.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Supervisor</w:t>
            </w:r>
          </w:p>
        </w:tc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Supervisor Field Operations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Deployment monitoring, submission oversight, GPS exception review, and documented field-quality decisions.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Enumerator</w:t>
            </w:r>
          </w:p>
        </w:tc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Field Enumerator Workspace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Assignment access, respondent interviews, offline capture, GPS capture, and automatic synchronization.</w:t>
            </w:r>
          </w:p>
        </w:tc>
      </w:tr>
    </w:tbl>
    <w:p>
      <w:pPr>
        <w:spacing w:after="0"/>
      </w:pPr>
    </w:p>
    <w:p>
      <w:pPr>
        <w:pStyle w:val="Heading2"/>
      </w:pPr>
      <w:r>
        <w:t>Contents at a Glance</w:t>
      </w:r>
    </w:p>
    <w:p>
      <w:pPr>
        <w:pStyle w:val="ListBullet"/>
      </w:pPr>
      <w:r>
        <w:t>Part I - Secure access and common navigation</w:t>
      </w:r>
    </w:p>
    <w:p>
      <w:pPr>
        <w:pStyle w:val="ListBullet"/>
      </w:pPr>
      <w:r>
        <w:t>Part II - Administrator operations</w:t>
      </w:r>
    </w:p>
    <w:p>
      <w:pPr>
        <w:pStyle w:val="ListBullet"/>
      </w:pPr>
      <w:r>
        <w:t>Part III - Creating a survey or census</w:t>
      </w:r>
    </w:p>
    <w:p>
      <w:pPr>
        <w:pStyle w:val="ListBullet"/>
      </w:pPr>
      <w:r>
        <w:t>Part IV - Publishing, deployment, and assignment</w:t>
      </w:r>
    </w:p>
    <w:p>
      <w:pPr>
        <w:pStyle w:val="ListBullet"/>
      </w:pPr>
      <w:r>
        <w:t>Part V - Supervisor operations</w:t>
      </w:r>
    </w:p>
    <w:p>
      <w:pPr>
        <w:pStyle w:val="ListBullet"/>
      </w:pPr>
      <w:r>
        <w:t>Part VI - Enumerator field operations</w:t>
      </w:r>
    </w:p>
    <w:p>
      <w:pPr>
        <w:pStyle w:val="ListBullet"/>
      </w:pPr>
      <w:r>
        <w:t>Part VII - Data intake, treatment, analysis, and insight</w:t>
      </w:r>
    </w:p>
    <w:p>
      <w:pPr>
        <w:pStyle w:val="ListBullet"/>
      </w:pPr>
      <w:r>
        <w:t>Part VIII - Troubleshooting, governance, and acceptance checklists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8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Security rule: </w:t>
            </w:r>
            <w:r>
              <w:rPr>
                <w:rFonts w:ascii="Calibri" w:hAnsi="Calibri"/>
                <w:color w:val="7A5A00"/>
              </w:rPr>
              <w:t>Never share accounts or passwords. Every operational user must use a named account so actions remain attributable and auditable.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I - Secure Access and Common Navigation</w:t>
      </w:r>
    </w:p>
    <w:p>
      <w:r>
        <w:rPr>
          <w:rFonts w:ascii="Calibri" w:hAnsi="Calibri"/>
          <w:i w:val="0"/>
          <w:color w:val="111827"/>
        </w:rPr>
        <w:t>This section applies to every EIOS user.</w:t>
      </w:r>
    </w:p>
    <w:p>
      <w:pPr>
        <w:pStyle w:val="Heading2"/>
      </w:pPr>
      <w:r>
        <w:t>1. Sign in</w:t>
      </w:r>
    </w:p>
    <w:p>
      <w:pPr>
        <w:pStyle w:val="ListNumber"/>
      </w:pPr>
      <w:r>
        <w:t>Open the EIOS HTTPS address provided by the organization.</w:t>
      </w:r>
    </w:p>
    <w:p>
      <w:pPr>
        <w:pStyle w:val="ListNumber"/>
      </w:pPr>
      <w:r>
        <w:t>Enter the assigned username and password.</w:t>
      </w:r>
    </w:p>
    <w:p>
      <w:pPr>
        <w:pStyle w:val="ListNumber"/>
      </w:pPr>
      <w:r>
        <w:t>Select Access EIOS Platform.</w:t>
      </w:r>
    </w:p>
    <w:p>
      <w:pPr>
        <w:pStyle w:val="ListNumber"/>
      </w:pPr>
      <w:r>
        <w:t>If prompted, replace the temporary password before continuing.</w:t>
      </w:r>
    </w:p>
    <w:p>
      <w:pPr>
        <w:pStyle w:val="Heading2"/>
      </w:pPr>
      <w:r>
        <w:t>2. Change a temporary password</w:t>
      </w:r>
    </w:p>
    <w:p>
      <w:pPr>
        <w:pStyle w:val="ListNumber"/>
      </w:pPr>
      <w:r>
        <w:t>Enter the temporary password in Current password.</w:t>
      </w:r>
    </w:p>
    <w:p>
      <w:pPr>
        <w:pStyle w:val="ListNumber"/>
      </w:pPr>
      <w:r>
        <w:t>Enter a unique new password of at least 12 characters.</w:t>
      </w:r>
    </w:p>
    <w:p>
      <w:pPr>
        <w:pStyle w:val="ListNumber"/>
      </w:pPr>
      <w:r>
        <w:t>Enter the same value in Confirm new password.</w:t>
      </w:r>
    </w:p>
    <w:p>
      <w:pPr>
        <w:pStyle w:val="ListNumber"/>
      </w:pPr>
      <w:r>
        <w:t>Select Change Password. Existing sessions are revoked after a successful password change.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8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Password practice: </w:t>
            </w:r>
            <w:r>
              <w:rPr>
                <w:rFonts w:ascii="Calibri" w:hAnsi="Calibri"/>
                <w:color w:val="7A5A00"/>
              </w:rPr>
              <w:t>Use a long, unique password. Do not reuse the administrator or another user's password.</w:t>
            </w:r>
          </w:p>
        </w:tc>
      </w:tr>
    </w:tbl>
    <w:p>
      <w:pPr>
        <w:spacing w:after="0"/>
      </w:pPr>
    </w:p>
    <w:p>
      <w:pPr>
        <w:pStyle w:val="Heading2"/>
      </w:pPr>
      <w:r>
        <w:t>3. Understand the interface</w:t>
      </w:r>
    </w:p>
    <w:p>
      <w:pPr>
        <w:pStyle w:val="ListBullet"/>
      </w:pPr>
      <w:r>
        <w:t>The left navigation shows only workspaces appropriate to the signed-in role.</w:t>
      </w:r>
    </w:p>
    <w:p>
      <w:pPr>
        <w:pStyle w:val="ListBullet"/>
      </w:pPr>
      <w:r>
        <w:t>Breadcrumbs at the top return you to Dashboard, Administration, or the parent workspace.</w:t>
      </w:r>
    </w:p>
    <w:p>
      <w:pPr>
        <w:pStyle w:val="ListBullet"/>
      </w:pPr>
      <w:r>
        <w:t>The notification bell displays permission-routed operational alerts.</w:t>
      </w:r>
    </w:p>
    <w:p>
      <w:pPr>
        <w:pStyle w:val="ListBullet"/>
      </w:pPr>
      <w:r>
        <w:t>The user menu provides profile, password, and sign-out actions when the standard layout is visible.</w:t>
      </w:r>
    </w:p>
    <w:p>
      <w:pPr>
        <w:pStyle w:val="ListBullet"/>
      </w:pPr>
      <w:r>
        <w:t>If an unauthorized URL is opened, use Return to workspace or Sign out on the Access Denied page.</w:t>
      </w:r>
    </w:p>
    <w:p>
      <w:pPr>
        <w:pStyle w:val="Heading2"/>
      </w:pPr>
      <w:r>
        <w:t>4. Sign out</w:t>
      </w:r>
    </w:p>
    <w:p>
      <w:pPr>
        <w:pStyle w:val="ListNumber"/>
      </w:pPr>
      <w:r>
        <w:t>Open the user menu in the upper-right corner.</w:t>
      </w:r>
    </w:p>
    <w:p>
      <w:pPr>
        <w:pStyle w:val="ListNumber"/>
      </w:pPr>
      <w:r>
        <w:t>Choose Sign Out and confirm if requested.</w:t>
      </w:r>
    </w:p>
    <w:p>
      <w:pPr>
        <w:pStyle w:val="ListNumber"/>
      </w:pPr>
      <w:r>
        <w:t>Close the browser on shared devices.</w:t>
      </w:r>
    </w:p>
    <w:p>
      <w:r>
        <w:br w:type="page"/>
      </w:r>
    </w:p>
    <w:p>
      <w:pPr>
        <w:pStyle w:val="Heading1"/>
      </w:pPr>
      <w:r>
        <w:t>Part II - Administrator Operations</w:t>
      </w:r>
    </w:p>
    <w:p>
      <w:r>
        <w:rPr>
          <w:rFonts w:ascii="Calibri" w:hAnsi="Calibri"/>
          <w:i w:val="0"/>
          <w:color w:val="111827"/>
        </w:rPr>
        <w:t>Administrators govern identity, enterprise defaults, survey engineering, deployment, analytics, GIS, and platform readiness.</w:t>
      </w:r>
    </w:p>
    <w:p>
      <w:pPr>
        <w:pStyle w:val="Heading2"/>
      </w:pPr>
      <w:r>
        <w:t>5. Executive Command Center</w:t>
      </w:r>
    </w:p>
    <w:p>
      <w:r>
        <w:rPr>
          <w:rFonts w:ascii="Calibri" w:hAnsi="Calibri"/>
          <w:i w:val="0"/>
          <w:color w:val="111827"/>
        </w:rPr>
        <w:t>After administrator login, the Executive Command Center presents the enterprise operational picture.</w:t>
      </w:r>
    </w:p>
    <w:p>
      <w:pPr>
        <w:pStyle w:val="ListBullet"/>
      </w:pPr>
      <w:r>
        <w:t>Registered Enumerators, Operational Deployments, attendance, clock-in, and field-hour indicators</w:t>
      </w:r>
    </w:p>
    <w:p>
      <w:pPr>
        <w:pStyle w:val="ListBullet"/>
      </w:pPr>
      <w:r>
        <w:t>National Operations Map and available GPS telemetry</w:t>
      </w:r>
    </w:p>
    <w:p>
      <w:pPr>
        <w:pStyle w:val="ListBullet"/>
      </w:pPr>
      <w:r>
        <w:t>Executive Watch for failed or queued enterprise jobs and service status</w:t>
      </w:r>
    </w:p>
    <w:p>
      <w:pPr>
        <w:pStyle w:val="ListBullet"/>
      </w:pPr>
      <w:r>
        <w:t>Navigation to Administration, Survey Engineering, Field Operations, Analytics, and GIS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 xml:space="preserve">Interpretation: </w:t>
            </w:r>
            <w:r>
              <w:rPr>
                <w:rFonts w:ascii="Calibri" w:hAnsi="Calibri"/>
                <w:color w:val="0B2545"/>
              </w:rPr>
              <w:t>A zero can be a valid operational value. For example, GIS may be ONLINE while Mapped Locations is zero because attendance records do not contain coordinates.</w:t>
            </w:r>
          </w:p>
        </w:tc>
      </w:tr>
    </w:tbl>
    <w:p>
      <w:pPr>
        <w:spacing w:after="0"/>
      </w:pPr>
    </w:p>
    <w:p>
      <w:pPr>
        <w:pStyle w:val="Heading2"/>
      </w:pPr>
      <w:r>
        <w:t>6. Create and administer users</w:t>
      </w:r>
    </w:p>
    <w:p>
      <w:pPr>
        <w:pStyle w:val="ListNumber"/>
      </w:pPr>
      <w:r>
        <w:t>Open Administration, then Users.</w:t>
      </w:r>
    </w:p>
    <w:p>
      <w:pPr>
        <w:pStyle w:val="ListNumber"/>
      </w:pPr>
      <w:r>
        <w:t>Review Total Accounts, Active Accounts, Assigned Roles, and IAM Status.</w:t>
      </w:r>
    </w:p>
    <w:p>
      <w:pPr>
        <w:pStyle w:val="ListNumber"/>
      </w:pPr>
      <w:r>
        <w:t>Select Create User.</w:t>
      </w:r>
    </w:p>
    <w:p>
      <w:pPr>
        <w:pStyle w:val="ListNumber"/>
      </w:pPr>
      <w:r>
        <w:t>Enter full name, unique username, email address, primary role, and a temporary password.</w:t>
      </w:r>
    </w:p>
    <w:p>
      <w:pPr>
        <w:pStyle w:val="ListNumber"/>
      </w:pPr>
      <w:r>
        <w:t>Select Create User. Give the temporary password securely to the user.</w:t>
      </w:r>
    </w:p>
    <w:p>
      <w:pPr>
        <w:pStyle w:val="ListNumber"/>
      </w:pPr>
      <w:r>
        <w:t>Require the user to complete the forced password change during first login.</w:t>
      </w:r>
    </w:p>
    <w:p>
      <w:pPr>
        <w:pStyle w:val="Heading3"/>
      </w:pPr>
      <w:r>
        <w:t>User maintenance</w:t>
      </w:r>
    </w:p>
    <w:p>
      <w:pPr>
        <w:pStyle w:val="ListBullet"/>
      </w:pPr>
      <w:r>
        <w:t>Use Edit to update approved identity details or reset a password.</w:t>
      </w:r>
    </w:p>
    <w:p>
      <w:pPr>
        <w:pStyle w:val="ListBullet"/>
      </w:pPr>
      <w:r>
        <w:t>Use Archive to remove an account from active use while retaining its historical record.</w:t>
      </w:r>
    </w:p>
    <w:p>
      <w:pPr>
        <w:pStyle w:val="ListBullet"/>
      </w:pPr>
      <w:r>
        <w:t>Search by name, username, email, role, or status.</w:t>
      </w:r>
    </w:p>
    <w:p>
      <w:pPr>
        <w:pStyle w:val="ListBullet"/>
      </w:pPr>
      <w:r>
        <w:t>Do not create shared Supervisor or Enumerator accounts.</w:t>
      </w:r>
    </w:p>
    <w:p>
      <w:pPr>
        <w:pStyle w:val="Heading2"/>
      </w:pPr>
      <w:r>
        <w:t>7. Govern enterprise settings</w:t>
      </w:r>
    </w:p>
    <w:p>
      <w:pPr>
        <w:pStyle w:val="ListNumber"/>
      </w:pPr>
      <w:r>
        <w:t>Open Administration, then Enterprise Foundation.</w:t>
      </w:r>
    </w:p>
    <w:p>
      <w:pPr>
        <w:pStyle w:val="ListNumber"/>
      </w:pPr>
      <w:r>
        <w:t>Review the institutional profile and operating principles.</w:t>
      </w:r>
    </w:p>
    <w:p>
      <w:pPr>
        <w:pStyle w:val="ListNumber"/>
      </w:pPr>
      <w:r>
        <w:t>Locate the required setting under Administrator-Controlled Defaults.</w:t>
      </w:r>
    </w:p>
    <w:p>
      <w:pPr>
        <w:pStyle w:val="ListNumber"/>
      </w:pPr>
      <w:r>
        <w:t>Select Edit, enter a permitted value, and document the reason for the change.</w:t>
      </w:r>
    </w:p>
    <w:p>
      <w:pPr>
        <w:pStyle w:val="ListNumber"/>
      </w:pPr>
      <w:r>
        <w:t>Select Save and verify the displayed value.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0FD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6534"/>
              </w:rPr>
              <w:t xml:space="preserve">Audit control: </w:t>
            </w:r>
            <w:r>
              <w:rPr>
                <w:rFonts w:ascii="Calibri" w:hAnsi="Calibri"/>
                <w:color w:val="166534"/>
              </w:rPr>
              <w:t>Every successful change records the old value, new value, change reason, administrator identity, and timestamp. Never use vague reasons such as 'update' or 'test' in production.</w:t>
            </w:r>
          </w:p>
        </w:tc>
      </w:tr>
    </w:tbl>
    <w:p>
      <w:pPr>
        <w:spacing w:after="0"/>
      </w:pPr>
    </w:p>
    <w:p>
      <w:pPr>
        <w:pStyle w:val="Heading2"/>
      </w:pPr>
      <w:r>
        <w:t>8. Verify Geographic Master</w:t>
      </w:r>
    </w:p>
    <w:p>
      <w:pPr>
        <w:pStyle w:val="ListNumber"/>
      </w:pPr>
      <w:r>
        <w:t>Open Administration, then Geographic Master.</w:t>
      </w:r>
    </w:p>
    <w:p>
      <w:pPr>
        <w:pStyle w:val="ListNumber"/>
      </w:pPr>
      <w:r>
        <w:t>Confirm the country, unit-type count, geographic-record count, and Connected status.</w:t>
      </w:r>
    </w:p>
    <w:p>
      <w:pPr>
        <w:pStyle w:val="ListNumber"/>
      </w:pPr>
      <w:r>
        <w:t>Open Philippines, then traverse Region, Province, City or Municipality, and Barangay.</w:t>
      </w:r>
    </w:p>
    <w:p>
      <w:pPr>
        <w:pStyle w:val="ListNumber"/>
      </w:pPr>
      <w:r>
        <w:t>Verify official names and codes before survey publication.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8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Current boundary: </w:t>
            </w:r>
            <w:r>
              <w:rPr>
                <w:rFonts w:ascii="Calibri" w:hAnsi="Calibri"/>
                <w:color w:val="7A5A00"/>
              </w:rPr>
              <w:t>The client-facing Geographic Master is a verified hierarchy browser. PSGC bulk import, geographic search, GIS-layer editing, and operational-group authoring are not currently exposed as user screens; these require an authorized technical procedure.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III - Create a Survey or Census</w:t>
      </w:r>
    </w:p>
    <w:p>
      <w:r>
        <w:rPr>
          <w:rFonts w:ascii="Calibri" w:hAnsi="Calibri"/>
          <w:i w:val="0"/>
          <w:color w:val="111827"/>
        </w:rPr>
        <w:t>EIOS uses the same governed survey engine for surveys and census instruments. The difference is the project design, coverage, sampling rule, and operational target - not a separate hard-coded questionnaire.</w:t>
      </w:r>
    </w:p>
    <w:p>
      <w:pPr>
        <w:pStyle w:val="Heading2"/>
      </w:pPr>
      <w:r>
        <w:t>9. Plan the instrument before encoding</w:t>
      </w:r>
    </w:p>
    <w:p>
      <w:pPr>
        <w:pStyle w:val="ListBullet"/>
      </w:pPr>
      <w:r>
        <w:t>Define purpose, target population, coverage, collection period, and data owner.</w:t>
      </w:r>
    </w:p>
    <w:p>
      <w:pPr>
        <w:pStyle w:val="ListBullet"/>
      </w:pPr>
      <w:r>
        <w:t>For a survey, define sampling and target completes. For a census, define the complete enumeration frame and coverage controls.</w:t>
      </w:r>
    </w:p>
    <w:p>
      <w:pPr>
        <w:pStyle w:val="ListBullet"/>
      </w:pPr>
      <w:r>
        <w:t>Prepare sections, question wording, response choices, required fields, validation rules, and consent language.</w:t>
      </w:r>
    </w:p>
    <w:p>
      <w:pPr>
        <w:pStyle w:val="ListBullet"/>
      </w:pPr>
      <w:r>
        <w:t>Identify analysis variables and expected indicators before fieldwork.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E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Governance: </w:t>
            </w:r>
            <w:r>
              <w:rPr>
                <w:rFonts w:ascii="Calibri" w:hAnsi="Calibri"/>
                <w:color w:val="9B1C1C"/>
              </w:rPr>
              <w:t>Do not collect personal or sensitive data unless there is a documented purpose, legal basis, access rule, retention period, and approved questionnaire wording.</w:t>
            </w:r>
          </w:p>
        </w:tc>
      </w:tr>
    </w:tbl>
    <w:p>
      <w:pPr>
        <w:spacing w:after="0"/>
      </w:pPr>
    </w:p>
    <w:p>
      <w:pPr>
        <w:pStyle w:val="Heading2"/>
      </w:pPr>
      <w:r>
        <w:t>10. Create the project</w:t>
      </w:r>
    </w:p>
    <w:p>
      <w:pPr>
        <w:pStyle w:val="ListNumber"/>
      </w:pPr>
      <w:r>
        <w:t>Open Survey Engineering from the left navigation or Executive Command Center.</w:t>
      </w:r>
    </w:p>
    <w:p>
      <w:pPr>
        <w:pStyle w:val="ListNumber"/>
      </w:pPr>
      <w:r>
        <w:t>Select Create Survey Project.</w:t>
      </w:r>
    </w:p>
    <w:p>
      <w:pPr>
        <w:pStyle w:val="ListNumber"/>
      </w:pPr>
      <w:r>
        <w:t>Enter a clear project name, description, code or generated identifier, and available coverage configuration.</w:t>
      </w:r>
    </w:p>
    <w:p>
      <w:pPr>
        <w:pStyle w:val="ListNumber"/>
      </w:pPr>
      <w:r>
        <w:t>Save the project, then select Open Designer from the Survey Projects registry.</w:t>
      </w:r>
    </w:p>
    <w:p>
      <w:pPr>
        <w:pStyle w:val="Heading2"/>
      </w:pPr>
      <w:r>
        <w:t>11. Build the questionnaire</w:t>
      </w:r>
    </w:p>
    <w:p>
      <w:pPr>
        <w:pStyle w:val="ListNumber"/>
      </w:pPr>
      <w:r>
        <w:t>Create sections that follow the interview flow. If questions remain Unassigned, add or activate the required section and place them appropriately.</w:t>
      </w:r>
    </w:p>
    <w:p>
      <w:pPr>
        <w:pStyle w:val="ListNumber"/>
      </w:pPr>
      <w:r>
        <w:t>Select Add Question.</w:t>
      </w:r>
    </w:p>
    <w:p>
      <w:pPr>
        <w:pStyle w:val="ListNumber"/>
      </w:pPr>
      <w:r>
        <w:t>Choose a reusable Question Type rather than programming a field directly.</w:t>
      </w:r>
    </w:p>
    <w:p>
      <w:pPr>
        <w:pStyle w:val="ListNumber"/>
      </w:pPr>
      <w:r>
        <w:t>Enter Question Text, optional placeholder and help text, and the required-answer rule.</w:t>
      </w:r>
    </w:p>
    <w:p>
      <w:pPr>
        <w:pStyle w:val="ListNumber"/>
      </w:pPr>
      <w:r>
        <w:t>Create the question and confirm that it appears in the questionnaire canvas.</w:t>
      </w:r>
    </w:p>
    <w:p>
      <w:pPr>
        <w:pStyle w:val="ListNumber"/>
      </w:pPr>
      <w:r>
        <w:t>Repeat for each approved question, then Save Draft.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Question family</w:t>
            </w:r>
          </w:p>
        </w:tc>
        <w:tc>
          <w:tcPr>
            <w:tcW w:type="dxa" w:w="30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Typical use</w:t>
            </w:r>
          </w:p>
        </w:tc>
        <w:tc>
          <w:tcPr>
            <w:tcW w:type="dxa" w:w="47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Data-treatment note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Choice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Yes/No, single choice, multiple choice, dropdown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Use stable governed choices; avoid overlapping categories.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Text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Short or long narrative responses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Expect coding or qualitative treatment before aggregation.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Numeric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Integer, decimal, currency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Set valid ranges and units before publication.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Date and Time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Dates, times, timestamps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Use consistent timezone and reference period.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Location and Media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GPS, Geographic Selector, photo, signature, barcode, file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Apply privacy, device, and evidence-retention rules.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Advanced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Matrix, calculated, hidden, household roster, repeat group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Use only after testing the compiled runtime behavior.</w:t>
            </w:r>
          </w:p>
        </w:tc>
      </w:tr>
    </w:tbl>
    <w:p>
      <w:pPr>
        <w:spacing w:after="0"/>
      </w:pPr>
    </w:p>
    <w:p>
      <w:pPr>
        <w:pStyle w:val="Heading2"/>
      </w:pPr>
      <w:r>
        <w:t>12. Add an official geographic question</w:t>
      </w:r>
    </w:p>
    <w:p>
      <w:pPr>
        <w:pStyle w:val="ListNumber"/>
      </w:pPr>
      <w:r>
        <w:t>Choose Location and Media - Geographic Selector.</w:t>
      </w:r>
    </w:p>
    <w:p>
      <w:pPr>
        <w:pStyle w:val="ListNumber"/>
      </w:pPr>
      <w:r>
        <w:t>Enter respondent-facing wording, for example: Select the respondent's official location.</w:t>
      </w:r>
    </w:p>
    <w:p>
      <w:pPr>
        <w:pStyle w:val="ListNumber"/>
      </w:pPr>
      <w:r>
        <w:t>Add help text describing the required geographic basis.</w:t>
      </w:r>
    </w:p>
    <w:p>
      <w:pPr>
        <w:pStyle w:val="ListNumber"/>
      </w:pPr>
      <w:r>
        <w:t>Create the question, save the draft, and open Preview.</w:t>
      </w:r>
    </w:p>
    <w:p>
      <w:pPr>
        <w:pStyle w:val="ListNumber"/>
      </w:pPr>
      <w:r>
        <w:t>Test the complete hierarchy: Philippines, Region, Province, City or Municipality, then Barangay.</w:t>
      </w:r>
    </w:p>
    <w:p>
      <w:pPr>
        <w:pStyle w:val="ListNumber"/>
      </w:pPr>
      <w:r>
        <w:t>Confirm that the final path and official code are displayed.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0FDF4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66534"/>
              </w:rPr>
              <w:t xml:space="preserve">Architecture: </w:t>
            </w:r>
            <w:r>
              <w:rPr>
                <w:rFonts w:ascii="Calibri" w:hAnsi="Calibri"/>
                <w:color w:val="166534"/>
              </w:rPr>
              <w:t>GEOGRAPHIC_SELECTOR stores a structured answer using the enterprise Geographic Master. It is reusable across questions and does not depend on identifiers such as Q001 or Q002.</w:t>
            </w:r>
          </w:p>
        </w:tc>
      </w:tr>
    </w:tbl>
    <w:p>
      <w:pPr>
        <w:spacing w:after="0"/>
      </w:pPr>
    </w:p>
    <w:p>
      <w:pPr>
        <w:pStyle w:val="Heading2"/>
      </w:pPr>
      <w:r>
        <w:t>13. Validate and preview</w:t>
      </w:r>
    </w:p>
    <w:p>
      <w:pPr>
        <w:pStyle w:val="ListNumber"/>
      </w:pPr>
      <w:r>
        <w:t>Select Validate and resolve every compilation error.</w:t>
      </w:r>
    </w:p>
    <w:p>
      <w:pPr>
        <w:pStyle w:val="ListNumber"/>
      </w:pPr>
      <w:r>
        <w:t>Review warnings and document why any accepted warning is safe.</w:t>
      </w:r>
    </w:p>
    <w:p>
      <w:pPr>
        <w:pStyle w:val="ListNumber"/>
      </w:pPr>
      <w:r>
        <w:t>Open Preview or Recompile Preview.</w:t>
      </w:r>
    </w:p>
    <w:p>
      <w:pPr>
        <w:pStyle w:val="ListNumber"/>
      </w:pPr>
      <w:r>
        <w:t>Test required questions, choice behavior, geographic paths, section order, and navigation.</w:t>
      </w:r>
    </w:p>
    <w:p>
      <w:pPr>
        <w:pStyle w:val="ListNumber"/>
      </w:pPr>
      <w:r>
        <w:t>Return to Designer and correct the instrument until the preview matches the approved questionnaire.</w:t>
      </w:r>
    </w:p>
    <w:p>
      <w:r>
        <w:br w:type="page"/>
      </w:r>
    </w:p>
    <w:p>
      <w:pPr>
        <w:pStyle w:val="Heading1"/>
      </w:pPr>
      <w:r>
        <w:t>Part IV - Publish, Deploy, and Assign</w:t>
      </w:r>
    </w:p>
    <w:p>
      <w:r>
        <w:rPr>
          <w:rFonts w:ascii="Calibri" w:hAnsi="Calibri"/>
          <w:i w:val="0"/>
          <w:color w:val="111827"/>
        </w:rPr>
        <w:t>Publishing freezes a governed version. Deployment packages that version for field execution.</w:t>
      </w:r>
    </w:p>
    <w:p>
      <w:pPr>
        <w:pStyle w:val="Heading2"/>
      </w:pPr>
      <w:r>
        <w:t>14. Publish a version</w:t>
      </w:r>
    </w:p>
    <w:p>
      <w:pPr>
        <w:pStyle w:val="ListNumber"/>
      </w:pPr>
      <w:r>
        <w:t>Open the validated survey in Designer.</w:t>
      </w:r>
    </w:p>
    <w:p>
      <w:pPr>
        <w:pStyle w:val="ListNumber"/>
      </w:pPr>
      <w:r>
        <w:t>Select Publish.</w:t>
      </w:r>
    </w:p>
    <w:p>
      <w:pPr>
        <w:pStyle w:val="ListNumber"/>
      </w:pPr>
      <w:r>
        <w:t>Confirm the publication action.</w:t>
      </w:r>
    </w:p>
    <w:p>
      <w:pPr>
        <w:pStyle w:val="ListNumber"/>
      </w:pPr>
      <w:r>
        <w:t>Record the published version number shown by EIOS.</w:t>
      </w:r>
    </w:p>
    <w:p>
      <w:pPr>
        <w:pStyle w:val="ListNumber"/>
      </w:pPr>
      <w:r>
        <w:t>Do not change a published instrument in place. Make changes in a new draft and publish a new version.</w:t>
      </w:r>
    </w:p>
    <w:p>
      <w:pPr>
        <w:pStyle w:val="Heading2"/>
      </w:pPr>
      <w:r>
        <w:t>15. Create a deployment package</w:t>
      </w:r>
    </w:p>
    <w:p>
      <w:pPr>
        <w:pStyle w:val="ListNumber"/>
      </w:pPr>
      <w:r>
        <w:t>Open Deploy or the Publish Studio for the survey.</w:t>
      </w:r>
    </w:p>
    <w:p>
      <w:pPr>
        <w:pStyle w:val="ListNumber"/>
      </w:pPr>
      <w:r>
        <w:t>Select the latest approved published version.</w:t>
      </w:r>
    </w:p>
    <w:p>
      <w:pPr>
        <w:pStyle w:val="ListNumber"/>
      </w:pPr>
      <w:r>
        <w:t>Create the deployment package and record its package identifier.</w:t>
      </w:r>
    </w:p>
    <w:p>
      <w:pPr>
        <w:pStyle w:val="ListNumber"/>
      </w:pPr>
      <w:r>
        <w:t>Choose the authorized Enumerator and select Deploy and Assign.</w:t>
      </w:r>
    </w:p>
    <w:p>
      <w:pPr>
        <w:pStyle w:val="ListNumber"/>
      </w:pPr>
      <w:r>
        <w:t>If EIOS reports that an existing assignment was reused, verify the assignment instead of creating duplicates.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8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Version control: </w:t>
            </w:r>
            <w:r>
              <w:rPr>
                <w:rFonts w:ascii="Calibri" w:hAnsi="Calibri"/>
                <w:color w:val="7A5A00"/>
              </w:rPr>
              <w:t>The field runtime must show the intended survey version. If it does not, stop fieldwork and correct the package assignment before collecting responses.</w:t>
            </w:r>
          </w:p>
        </w:tc>
      </w:tr>
    </w:tbl>
    <w:p>
      <w:pPr>
        <w:spacing w:after="0"/>
      </w:pPr>
    </w:p>
    <w:p>
      <w:pPr>
        <w:pStyle w:val="Heading2"/>
      </w:pPr>
      <w:r>
        <w:t>16. Monitor deployment operations</w:t>
      </w:r>
    </w:p>
    <w:p>
      <w:pPr>
        <w:pStyle w:val="ListBullet"/>
      </w:pPr>
      <w:r>
        <w:t>Open Deployment or Supervisor Console to review package count, readiness, version, and deployment time.</w:t>
      </w:r>
    </w:p>
    <w:p>
      <w:pPr>
        <w:pStyle w:val="ListBullet"/>
      </w:pPr>
      <w:r>
        <w:t>Use Refresh to retrieve current server data.</w:t>
      </w:r>
    </w:p>
    <w:p>
      <w:pPr>
        <w:pStyle w:val="ListBullet"/>
      </w:pPr>
      <w:r>
        <w:t>Review GPS Integrity Reviews and document every exception decision.</w:t>
      </w:r>
    </w:p>
    <w:p>
      <w:pPr>
        <w:pStyle w:val="ListBullet"/>
      </w:pPr>
      <w:r>
        <w:t>Use notifications to open items requiring authorized supervision.</w:t>
      </w:r>
    </w:p>
    <w:p>
      <w:r>
        <w:br w:type="page"/>
      </w:r>
    </w:p>
    <w:p>
      <w:pPr>
        <w:pStyle w:val="Heading1"/>
      </w:pPr>
      <w:r>
        <w:t>Part V - Supervisor Operations</w:t>
      </w:r>
    </w:p>
    <w:p>
      <w:r>
        <w:rPr>
          <w:rFonts w:ascii="Calibri" w:hAnsi="Calibri"/>
          <w:i w:val="0"/>
          <w:color w:val="111827"/>
        </w:rPr>
        <w:t>Supervisors monitor operational readiness and make traceable decisions on field-quality exceptions.</w:t>
      </w:r>
    </w:p>
    <w:p>
      <w:pPr>
        <w:pStyle w:val="Heading2"/>
      </w:pPr>
      <w:r>
        <w:t>17. Open the Supervisor workspace</w:t>
      </w:r>
    </w:p>
    <w:p>
      <w:pPr>
        <w:pStyle w:val="ListNumber"/>
      </w:pPr>
      <w:r>
        <w:t>Sign in using a named Supervisor account.</w:t>
      </w:r>
    </w:p>
    <w:p>
      <w:pPr>
        <w:pStyle w:val="ListNumber"/>
      </w:pPr>
      <w:r>
        <w:t>Complete the forced password change if this is the first login.</w:t>
      </w:r>
    </w:p>
    <w:p>
      <w:pPr>
        <w:pStyle w:val="ListNumber"/>
      </w:pPr>
      <w:r>
        <w:t>Confirm that Supervisor Field Operations displays packages, readiness, GPS Reviews, and ONLINE API status.</w:t>
      </w:r>
    </w:p>
    <w:p>
      <w:pPr>
        <w:pStyle w:val="Heading2"/>
      </w:pPr>
      <w:r>
        <w:t>18. Review a GPS exception</w:t>
      </w:r>
    </w:p>
    <w:p>
      <w:pPr>
        <w:pStyle w:val="ListNumber"/>
      </w:pPr>
      <w:r>
        <w:t>Open the notification bell and select Open on Interview GPS review required, or open Supervisor Field Operations directly.</w:t>
      </w:r>
    </w:p>
    <w:p>
      <w:pPr>
        <w:pStyle w:val="ListNumber"/>
      </w:pPr>
      <w:r>
        <w:t>Review Enumerator, validation status, flags, assigned area, and available evidence.</w:t>
      </w:r>
    </w:p>
    <w:p>
      <w:pPr>
        <w:pStyle w:val="ListNumber"/>
      </w:pPr>
      <w:r>
        <w:t>Enter a specific justification describing the operational facts and decision basis.</w:t>
      </w:r>
    </w:p>
    <w:p>
      <w:pPr>
        <w:pStyle w:val="ListNumber"/>
      </w:pPr>
      <w:r>
        <w:t>Choose Accept Exception only when the interview is authorized and the exception is adequately explained.</w:t>
      </w:r>
    </w:p>
    <w:p>
      <w:pPr>
        <w:pStyle w:val="ListNumber"/>
      </w:pPr>
      <w:r>
        <w:t>Choose Reject when the location evidence or operational circumstances make the interview unacceptable.</w:t>
      </w:r>
    </w:p>
    <w:p>
      <w:pPr>
        <w:pStyle w:val="ListNumber"/>
      </w:pPr>
      <w:r>
        <w:t>Verify that the item no longer appears in the pending GPS Reviews count.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950"/>
        <w:gridCol w:w="451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Example flag</w:t>
            </w:r>
          </w:p>
        </w:tc>
        <w:tc>
          <w:tcPr>
            <w:tcW w:type="dxa" w:w="29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Meaning</w:t>
            </w:r>
          </w:p>
        </w:tc>
        <w:tc>
          <w:tcPr>
            <w:tcW w:type="dxa" w:w="45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Supervisor action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TIMEOUT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The device did not return a location within the capture window.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Check assignment and interview circumstances; document why evidence is sufficient or reject.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NO_GEOFENCE_CONFIGURED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The deployment has no configured spatial boundary for comparison.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Validate the authorized area operationally; escalate configuration before broad rollout.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Out of Area</w:t>
            </w:r>
          </w:p>
        </w:tc>
        <w:tc>
          <w:tcPr>
            <w:tcW w:type="dxa" w:w="2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Captured location does not match the configured boundary or radius.</w:t>
            </w:r>
          </w:p>
        </w:tc>
        <w:tc>
          <w:tcPr>
            <w:tcW w:type="dxa" w:w="4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Investigate movement, assignment, accuracy, and possible data-quality or integrity concerns.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8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Decision quality: </w:t>
            </w:r>
            <w:r>
              <w:rPr>
                <w:rFonts w:ascii="Calibri" w:hAnsi="Calibri"/>
                <w:color w:val="7A5A00"/>
              </w:rPr>
              <w:t>A justification must explain why the exception is acceptable or unacceptable. Do not write only 'approved', 'valid', or 'okay'.</w:t>
            </w:r>
          </w:p>
        </w:tc>
      </w:tr>
    </w:tbl>
    <w:p>
      <w:pPr>
        <w:spacing w:after="0"/>
      </w:pPr>
    </w:p>
    <w:p>
      <w:pPr>
        <w:pStyle w:val="Heading2"/>
      </w:pPr>
      <w:r>
        <w:t>19. Enforce role boundaries</w:t>
      </w:r>
    </w:p>
    <w:p>
      <w:pPr>
        <w:pStyle w:val="ListBullet"/>
      </w:pPr>
      <w:r>
        <w:t>Supervisors must not use Administrator credentials.</w:t>
      </w:r>
    </w:p>
    <w:p>
      <w:pPr>
        <w:pStyle w:val="ListBullet"/>
      </w:pPr>
      <w:r>
        <w:t>If Access Denied appears, select Return to workspace rather than seeking unauthorized access.</w:t>
      </w:r>
    </w:p>
    <w:p>
      <w:pPr>
        <w:pStyle w:val="ListBullet"/>
      </w:pPr>
      <w:r>
        <w:t>Use Sign out on the Access Denied screen when the wrong account is active.</w:t>
      </w:r>
    </w:p>
    <w:p>
      <w:r>
        <w:br w:type="page"/>
      </w:r>
    </w:p>
    <w:p>
      <w:pPr>
        <w:pStyle w:val="Heading1"/>
      </w:pPr>
      <w:r>
        <w:t>Part VI - Enumerator Field Operations</w:t>
      </w:r>
    </w:p>
    <w:p>
      <w:r>
        <w:rPr>
          <w:rFonts w:ascii="Calibri" w:hAnsi="Calibri"/>
          <w:i w:val="0"/>
          <w:color w:val="111827"/>
        </w:rPr>
        <w:t>Enumerators collect only assigned instruments and should preserve every interview until synchronization is confirmed.</w:t>
      </w:r>
    </w:p>
    <w:p>
      <w:pPr>
        <w:pStyle w:val="Heading2"/>
      </w:pPr>
      <w:r>
        <w:t>20. Confirm the assignment</w:t>
      </w:r>
    </w:p>
    <w:p>
      <w:pPr>
        <w:pStyle w:val="ListNumber"/>
      </w:pPr>
      <w:r>
        <w:t>Sign in using the assigned Enumerator account.</w:t>
      </w:r>
    </w:p>
    <w:p>
      <w:pPr>
        <w:pStyle w:val="ListNumber"/>
      </w:pPr>
      <w:r>
        <w:t>Confirm Today's Mission, role, assignment status, deployment status, survey package version, and area.</w:t>
      </w:r>
    </w:p>
    <w:p>
      <w:pPr>
        <w:pStyle w:val="ListNumber"/>
      </w:pPr>
      <w:r>
        <w:t>Check Target, Completed, Pending Sync, and Remaining values.</w:t>
      </w:r>
    </w:p>
    <w:p>
      <w:pPr>
        <w:pStyle w:val="ListNumber"/>
      </w:pPr>
      <w:r>
        <w:t>Do not begin if the deployment, version, or area is incorrect.</w:t>
      </w:r>
    </w:p>
    <w:p>
      <w:pPr>
        <w:pStyle w:val="Heading2"/>
      </w:pPr>
      <w:r>
        <w:t>21. Conduct an interview</w:t>
      </w:r>
    </w:p>
    <w:p>
      <w:pPr>
        <w:pStyle w:val="ListNumber"/>
      </w:pPr>
      <w:r>
        <w:t>Select Start Next Interview.</w:t>
      </w:r>
    </w:p>
    <w:p>
      <w:pPr>
        <w:pStyle w:val="ListNumber"/>
      </w:pPr>
      <w:r>
        <w:t>Obtain required consent before entering respondent data.</w:t>
      </w:r>
    </w:p>
    <w:p>
      <w:pPr>
        <w:pStyle w:val="ListNumber"/>
      </w:pPr>
      <w:r>
        <w:t>Read questions as approved and avoid influencing the response.</w:t>
      </w:r>
    </w:p>
    <w:p>
      <w:pPr>
        <w:pStyle w:val="ListNumber"/>
      </w:pPr>
      <w:r>
        <w:t>Complete required fields and review responses before saving.</w:t>
      </w:r>
    </w:p>
    <w:p>
      <w:pPr>
        <w:pStyle w:val="ListNumber"/>
      </w:pPr>
      <w:r>
        <w:t>For Geographic Location, select each hierarchy level until the required final unit is displayed.</w:t>
      </w:r>
    </w:p>
    <w:p>
      <w:pPr>
        <w:pStyle w:val="ListNumber"/>
      </w:pPr>
      <w:r>
        <w:t>Allow location permission when authorized by field policy. GPS failure does not erase the interview; it creates a reviewable integrity status.</w:t>
      </w:r>
    </w:p>
    <w:p>
      <w:pPr>
        <w:pStyle w:val="ListNumber"/>
      </w:pPr>
      <w:r>
        <w:t>Select Save Interview once. Wait for the success message before leaving the page.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8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Do not duplicate: </w:t>
            </w:r>
            <w:r>
              <w:rPr>
                <w:rFonts w:ascii="Calibri" w:hAnsi="Calibri"/>
                <w:color w:val="7A5A00"/>
              </w:rPr>
              <w:t>If Offline response created successfully appears, do not press Save repeatedly. Return to the workspace and check Pending Sync.</w:t>
            </w:r>
          </w:p>
        </w:tc>
      </w:tr>
    </w:tbl>
    <w:p>
      <w:pPr>
        <w:spacing w:after="0"/>
      </w:pPr>
    </w:p>
    <w:p>
      <w:pPr>
        <w:pStyle w:val="Heading2"/>
      </w:pPr>
      <w:r>
        <w:t>22. Work offline and synchronize</w:t>
      </w:r>
    </w:p>
    <w:p>
      <w:pPr>
        <w:pStyle w:val="ListBullet"/>
      </w:pPr>
      <w:r>
        <w:t>EIOS stores an interview locally when the network is unavailable.</w:t>
      </w:r>
    </w:p>
    <w:p>
      <w:pPr>
        <w:pStyle w:val="ListBullet"/>
      </w:pPr>
      <w:r>
        <w:t>Pending Sync shows records waiting for the server.</w:t>
      </w:r>
    </w:p>
    <w:p>
      <w:pPr>
        <w:pStyle w:val="ListBullet"/>
      </w:pPr>
      <w:r>
        <w:t>Automatic synchronization runs after connectivity returns and periodically while the workspace is open.</w:t>
      </w:r>
    </w:p>
    <w:p>
      <w:pPr>
        <w:pStyle w:val="ListBullet"/>
      </w:pPr>
      <w:r>
        <w:t>Keep the browser and device available until Pending Sync returns to zero.</w:t>
      </w:r>
    </w:p>
    <w:p>
      <w:pPr>
        <w:pStyle w:val="ListBullet"/>
      </w:pPr>
      <w:r>
        <w:t>A message such as 1 interview synchronized successfully confirms server receipt.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E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Data safety: </w:t>
            </w:r>
            <w:r>
              <w:rPr>
                <w:rFonts w:ascii="Calibri" w:hAnsi="Calibri"/>
                <w:color w:val="9B1C1C"/>
              </w:rPr>
              <w:t>Do not clear browser storage, uninstall the browser, reset the device, or use private/incognito mode while interviews are pending synchronization.</w:t>
            </w:r>
          </w:p>
        </w:tc>
      </w:tr>
    </w:tbl>
    <w:p>
      <w:pPr>
        <w:spacing w:after="0"/>
      </w:pPr>
    </w:p>
    <w:p>
      <w:pPr>
        <w:pStyle w:val="Heading2"/>
      </w:pPr>
      <w:r>
        <w:t>23. Field-quality checklist</w:t>
      </w:r>
    </w:p>
    <w:p>
      <w:pPr>
        <w:pStyle w:val="ListBullet"/>
      </w:pPr>
      <w:r>
        <w:t>Correct respondent and approved assignment</w:t>
      </w:r>
    </w:p>
    <w:p>
      <w:pPr>
        <w:pStyle w:val="ListBullet"/>
      </w:pPr>
      <w:r>
        <w:t>Correct survey package version</w:t>
      </w:r>
    </w:p>
    <w:p>
      <w:pPr>
        <w:pStyle w:val="ListBullet"/>
      </w:pPr>
      <w:r>
        <w:t>Consent completed</w:t>
      </w:r>
    </w:p>
    <w:p>
      <w:pPr>
        <w:pStyle w:val="ListBullet"/>
      </w:pPr>
      <w:r>
        <w:t>Answers reviewed before save</w:t>
      </w:r>
    </w:p>
    <w:p>
      <w:pPr>
        <w:pStyle w:val="ListBullet"/>
      </w:pPr>
      <w:r>
        <w:t>Geographic path verified</w:t>
      </w:r>
    </w:p>
    <w:p>
      <w:pPr>
        <w:pStyle w:val="ListBullet"/>
      </w:pPr>
      <w:r>
        <w:t>GPS permission handled according to policy</w:t>
      </w:r>
    </w:p>
    <w:p>
      <w:pPr>
        <w:pStyle w:val="ListBullet"/>
      </w:pPr>
      <w:r>
        <w:t>Successful offline save message received</w:t>
      </w:r>
    </w:p>
    <w:p>
      <w:pPr>
        <w:pStyle w:val="ListBullet"/>
      </w:pPr>
      <w:r>
        <w:t>Pending Sync monitored until zero</w:t>
      </w:r>
    </w:p>
    <w:p>
      <w:r>
        <w:br w:type="page"/>
      </w:r>
    </w:p>
    <w:p>
      <w:pPr>
        <w:pStyle w:val="Heading1"/>
      </w:pPr>
      <w:r>
        <w:t>Part VII - Data Intake, Treatment, Analysis, and Insight</w:t>
      </w:r>
    </w:p>
    <w:p>
      <w:r>
        <w:rPr>
          <w:rFonts w:ascii="Calibri" w:hAnsi="Calibri"/>
          <w:i w:val="0"/>
          <w:color w:val="111827"/>
        </w:rPr>
        <w:t>EIOS converts governed field responses into synchronized records, quality decisions, frequency distributions, geographic context, and operational indicators.</w:t>
      </w:r>
    </w:p>
    <w:p>
      <w:pPr>
        <w:pStyle w:val="Heading2"/>
      </w:pPr>
      <w:r>
        <w:t>24. Understand the supported data-intake paths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5110"/>
        <w:gridCol w:w="240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Data source</w:t>
            </w:r>
          </w:p>
        </w:tc>
        <w:tc>
          <w:tcPr>
            <w:tcW w:type="dxa" w:w="51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Current supported path</w:t>
            </w:r>
          </w:p>
        </w:tc>
        <w:tc>
          <w:tcPr>
            <w:tcW w:type="dxa" w:w="2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Owner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Field interviews</w:t>
            </w:r>
          </w:p>
        </w:tc>
        <w:tc>
          <w:tcPr>
            <w:tcW w:type="dxa" w:w="5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Enumerator runtime -&gt; offline store -&gt; automatic synchronization -&gt; canonical survey responses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Enumerator / system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Official geography</w:t>
            </w:r>
          </w:p>
        </w:tc>
        <w:tc>
          <w:tcPr>
            <w:tcW w:type="dxa" w:w="5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Preloaded Enterprise Geographic Master used by Geographic Selector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Administrator / authorized technical support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Users and roles</w:t>
            </w:r>
          </w:p>
        </w:tc>
        <w:tc>
          <w:tcPr>
            <w:tcW w:type="dxa" w:w="5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User Administration screens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Administrator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Legacy or external datasets</w:t>
            </w:r>
          </w:p>
        </w:tc>
        <w:tc>
          <w:tcPr>
            <w:tcW w:type="dxa" w:w="5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Controlled technical import after schema mapping, validation, backup, and approval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Data administrator / technical support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8E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A5A00"/>
              </w:rPr>
              <w:t xml:space="preserve">Current limitation: </w:t>
            </w:r>
            <w:r>
              <w:rPr>
                <w:rFonts w:ascii="Calibri" w:hAnsi="Calibri"/>
                <w:color w:val="7A5A00"/>
              </w:rPr>
              <w:t>EIOS Version 1.0 does not expose a general-purpose client bulk-import screen. Do not load CSV or spreadsheet data directly into production tables. Use the controlled import procedure below with authorized technical support.</w:t>
            </w:r>
          </w:p>
        </w:tc>
      </w:tr>
    </w:tbl>
    <w:p>
      <w:pPr>
        <w:spacing w:after="0"/>
      </w:pPr>
    </w:p>
    <w:p>
      <w:pPr>
        <w:pStyle w:val="Heading2"/>
      </w:pPr>
      <w:r>
        <w:t>25. Prepare an external dataset for controlled import</w:t>
      </w:r>
    </w:p>
    <w:p>
      <w:pPr>
        <w:pStyle w:val="ListNumber"/>
      </w:pPr>
      <w:r>
        <w:t>Define the destination survey, version, variables, and respondent identifier rule.</w:t>
      </w:r>
    </w:p>
    <w:p>
      <w:pPr>
        <w:pStyle w:val="ListNumber"/>
      </w:pPr>
      <w:r>
        <w:t>Create a data dictionary containing source column, destination variable, type, allowed values, missing-value rule, and transformation.</w:t>
      </w:r>
    </w:p>
    <w:p>
      <w:pPr>
        <w:pStyle w:val="ListNumber"/>
      </w:pPr>
      <w:r>
        <w:t>Export the source as UTF-8 CSV without formulas, merged cells, hidden columns, or presentation-only rows.</w:t>
      </w:r>
    </w:p>
    <w:p>
      <w:pPr>
        <w:pStyle w:val="ListNumber"/>
      </w:pPr>
      <w:r>
        <w:t>Remove duplicate headers, subtotals, footnotes, and personally identifying columns that are not approved for EIOS.</w:t>
      </w:r>
    </w:p>
    <w:p>
      <w:pPr>
        <w:pStyle w:val="ListNumber"/>
      </w:pPr>
      <w:r>
        <w:t>Standardize dates, numeric formats, boolean values, geographic codes, and missing values.</w:t>
      </w:r>
    </w:p>
    <w:p>
      <w:pPr>
        <w:pStyle w:val="ListNumber"/>
      </w:pPr>
      <w:r>
        <w:t>Back up production and test the import in a non-production environment.</w:t>
      </w:r>
    </w:p>
    <w:p>
      <w:pPr>
        <w:pStyle w:val="ListNumber"/>
      </w:pPr>
      <w:r>
        <w:t>Run validation counts and obtain data-owner approval before production loading.</w:t>
      </w:r>
    </w:p>
    <w:p>
      <w:pPr>
        <w:pStyle w:val="ListNumber"/>
      </w:pPr>
      <w:r>
        <w:t>Retain the source file, mapping, validation report, operator identity, and import timestamp in the controlled record repository.</w:t>
      </w:r>
    </w:p>
    <w:p>
      <w:pPr>
        <w:pStyle w:val="Heading2"/>
      </w:pPr>
      <w:r>
        <w:t>26. Data-treatment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420"/>
        <w:gridCol w:w="3390"/>
      </w:tblGrid>
      <w:tr>
        <w:trPr>
          <w:tblHeader w:val="true"/>
        </w:trPr>
        <w:tc>
          <w:tcPr>
            <w:tcW w:type="dxa" w:w="15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442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Treatment</w:t>
            </w:r>
          </w:p>
        </w:tc>
        <w:tc>
          <w:tcPr>
            <w:tcW w:type="dxa" w:w="339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Required check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1. Intake</w:t>
            </w:r>
          </w:p>
        </w:tc>
        <w:tc>
          <w:tcPr>
            <w:tcW w:type="dxa" w:w="4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Receive synchronized or approved imported records.</w:t>
            </w:r>
          </w:p>
        </w:tc>
        <w:tc>
          <w:tcPr>
            <w:tcW w:type="dxa" w:w="3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Record count, source, survey version, timestamps.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2. Structural validation</w:t>
            </w:r>
          </w:p>
        </w:tc>
        <w:tc>
          <w:tcPr>
            <w:tcW w:type="dxa" w:w="4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Verify identifiers, types, required fields, and answer schema.</w:t>
            </w:r>
          </w:p>
        </w:tc>
        <w:tc>
          <w:tcPr>
            <w:tcW w:type="dxa" w:w="3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No orphan or malformed answers.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3. Standardization</w:t>
            </w:r>
          </w:p>
        </w:tc>
        <w:tc>
          <w:tcPr>
            <w:tcW w:type="dxa" w:w="4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Normalize dates, numbers, case, labels, and governed choices.</w:t>
            </w:r>
          </w:p>
        </w:tc>
        <w:tc>
          <w:tcPr>
            <w:tcW w:type="dxa" w:w="3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Original values remain traceable.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4. Geographic validation</w:t>
            </w:r>
          </w:p>
        </w:tc>
        <w:tc>
          <w:tcPr>
            <w:tcW w:type="dxa" w:w="4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Resolve official codes and paths; review GPS flags.</w:t>
            </w:r>
          </w:p>
        </w:tc>
        <w:tc>
          <w:tcPr>
            <w:tcW w:type="dxa" w:w="3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Hierarchy and exception decisions documented.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5. Quality review</w:t>
            </w:r>
          </w:p>
        </w:tc>
        <w:tc>
          <w:tcPr>
            <w:tcW w:type="dxa" w:w="4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Check duplicates, missingness, range, contradictions, speed, and enumerator patterns.</w:t>
            </w:r>
          </w:p>
        </w:tc>
        <w:tc>
          <w:tcPr>
            <w:tcW w:type="dxa" w:w="3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Rules and thresholds approved before use.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6. Derivation</w:t>
            </w:r>
          </w:p>
        </w:tc>
        <w:tc>
          <w:tcPr>
            <w:tcW w:type="dxa" w:w="4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Create documented indicators or categories from governed source variables.</w:t>
            </w:r>
          </w:p>
        </w:tc>
        <w:tc>
          <w:tcPr>
            <w:tcW w:type="dxa" w:w="3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Formula, version, and owner recorded.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7. Analysis</w:t>
            </w:r>
          </w:p>
        </w:tc>
        <w:tc>
          <w:tcPr>
            <w:tcW w:type="dxa" w:w="4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Generate distributions and compare meaningful groups or areas.</w:t>
            </w:r>
          </w:p>
        </w:tc>
        <w:tc>
          <w:tcPr>
            <w:tcW w:type="dxa" w:w="3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Base counts and denominators shown.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8. Insight</w:t>
            </w:r>
          </w:p>
        </w:tc>
        <w:tc>
          <w:tcPr>
            <w:tcW w:type="dxa" w:w="44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Translate evidence into implications, uncertainty, and action.</w:t>
            </w:r>
          </w:p>
        </w:tc>
        <w:tc>
          <w:tcPr>
            <w:tcW w:type="dxa" w:w="33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No conclusion exceeds the design or data quality.</w:t>
            </w:r>
          </w:p>
        </w:tc>
      </w:tr>
    </w:tbl>
    <w:p>
      <w:pPr>
        <w:spacing w:after="0"/>
      </w:pPr>
    </w:p>
    <w:p>
      <w:pPr>
        <w:pStyle w:val="Heading2"/>
      </w:pPr>
      <w:r>
        <w:t>27. Use the Analytics Intelligence Center</w:t>
      </w:r>
    </w:p>
    <w:p>
      <w:pPr>
        <w:pStyle w:val="ListNumber"/>
      </w:pPr>
      <w:r>
        <w:t>Open Analytics from the Executive Command Center.</w:t>
      </w:r>
    </w:p>
    <w:p>
      <w:pPr>
        <w:pStyle w:val="ListNumber"/>
      </w:pPr>
      <w:r>
        <w:t>Confirm Analytics Status is ONLINE.</w:t>
      </w:r>
    </w:p>
    <w:p>
      <w:pPr>
        <w:pStyle w:val="ListNumber"/>
      </w:pPr>
      <w:r>
        <w:t>Review Responses, Surveys, and Answered Variables.</w:t>
      </w:r>
    </w:p>
    <w:p>
      <w:pPr>
        <w:pStyle w:val="ListNumber"/>
      </w:pPr>
      <w:r>
        <w:t>Use Frequency Distribution to inspect answer counts and percentages.</w:t>
      </w:r>
    </w:p>
    <w:p>
      <w:pPr>
        <w:pStyle w:val="ListNumber"/>
      </w:pPr>
      <w:r>
        <w:t>For Geographic Selector answers, confirm that the readable path is shown rather than raw JSON.</w:t>
      </w:r>
    </w:p>
    <w:p>
      <w:pPr>
        <w:pStyle w:val="ListNumber"/>
      </w:pPr>
      <w:r>
        <w:t>Record the response base before comparing percentages across questions.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 xml:space="preserve">Denominator: </w:t>
            </w:r>
            <w:r>
              <w:rPr>
                <w:rFonts w:ascii="Calibri" w:hAnsi="Calibri"/>
                <w:color w:val="0B2545"/>
              </w:rPr>
              <w:t>The displayed percentage is based on the synchronized response total used by the current workspace. A count of 1 out of 8 is 12.5%; always report both the count and denominator.</w:t>
            </w:r>
          </w:p>
        </w:tc>
      </w:tr>
    </w:tbl>
    <w:p>
      <w:pPr>
        <w:spacing w:after="0"/>
      </w:pPr>
    </w:p>
    <w:p>
      <w:pPr>
        <w:pStyle w:val="Heading2"/>
      </w:pPr>
      <w:r>
        <w:t>28. Use GIS responsibly</w:t>
      </w:r>
    </w:p>
    <w:p>
      <w:pPr>
        <w:pStyle w:val="ListNumber"/>
      </w:pPr>
      <w:r>
        <w:t>Open GIS from the Executive Command Center.</w:t>
      </w:r>
    </w:p>
    <w:p>
      <w:pPr>
        <w:pStyle w:val="ListNumber"/>
      </w:pPr>
      <w:r>
        <w:t>Review Attendance Records, Mapped Locations, Missing GPS, and GIS Status.</w:t>
      </w:r>
    </w:p>
    <w:p>
      <w:pPr>
        <w:pStyle w:val="ListNumber"/>
      </w:pPr>
      <w:r>
        <w:t>Use the map only for authorized operational monitoring.</w:t>
      </w:r>
    </w:p>
    <w:p>
      <w:pPr>
        <w:pStyle w:val="ListNumber"/>
      </w:pPr>
      <w:r>
        <w:t>If no markers appear while GIS is ONLINE, check whether attendance records contain coordinates.</w:t>
      </w:r>
    </w:p>
    <w:p>
      <w:pPr>
        <w:pStyle w:val="ListNumber"/>
      </w:pPr>
      <w:r>
        <w:t>Do not infer respondent residence from Enumerator attendance GPS unless the approved data model explicitly supports that conclusion.</w:t>
      </w:r>
    </w:p>
    <w:p>
      <w:pPr>
        <w:pStyle w:val="Heading2"/>
      </w:pPr>
      <w:r>
        <w:t>29. Turn analysis into defensible insight</w:t>
      </w:r>
    </w:p>
    <w:p>
      <w:pPr>
        <w:pStyle w:val="ListNumber"/>
      </w:pPr>
      <w:r>
        <w:t>State the operational question before selecting a metric.</w:t>
      </w:r>
    </w:p>
    <w:p>
      <w:pPr>
        <w:pStyle w:val="ListNumber"/>
      </w:pPr>
      <w:r>
        <w:t>Confirm survey version, population, period, geography, and synchronized record count.</w:t>
      </w:r>
    </w:p>
    <w:p>
      <w:pPr>
        <w:pStyle w:val="ListNumber"/>
      </w:pPr>
      <w:r>
        <w:t>Review missing values, GPS exceptions, duplicate risk, and field-quality notes.</w:t>
      </w:r>
    </w:p>
    <w:p>
      <w:pPr>
        <w:pStyle w:val="ListNumber"/>
      </w:pPr>
      <w:r>
        <w:t>Describe the result using counts and percentages, not percentages alone.</w:t>
      </w:r>
    </w:p>
    <w:p>
      <w:pPr>
        <w:pStyle w:val="ListNumber"/>
      </w:pPr>
      <w:r>
        <w:t>Compare only groups supported by the questionnaire and sampling or census design.</w:t>
      </w:r>
    </w:p>
    <w:p>
      <w:pPr>
        <w:pStyle w:val="ListNumber"/>
      </w:pPr>
      <w:r>
        <w:t>Separate observation from interpretation and recommendation.</w:t>
      </w:r>
    </w:p>
    <w:p>
      <w:pPr>
        <w:pStyle w:val="ListNumber"/>
      </w:pPr>
      <w:r>
        <w:t>Document limitations, uncertainty, and any data-treatment decisions.</w:t>
      </w:r>
    </w:p>
    <w:p>
      <w:pPr>
        <w:pStyle w:val="ListNumber"/>
      </w:pPr>
      <w:r>
        <w:t>Assign an owner and follow-up date to operational recommendations.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75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Example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Observation</w:t>
            </w:r>
          </w:p>
        </w:tc>
        <w:tc>
          <w:tcPr>
            <w:tcW w:type="dxa" w:w="7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Three synchronized geographic selections currently represent three different barangays.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Interpretation</w:t>
            </w:r>
          </w:p>
        </w:tc>
        <w:tc>
          <w:tcPr>
            <w:tcW w:type="dxa" w:w="7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The responses demonstrate operational coverage across multiple areas; they do not by themselves estimate population distribution.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Action</w:t>
            </w:r>
          </w:p>
        </w:tc>
        <w:tc>
          <w:tcPr>
            <w:tcW w:type="dxa" w:w="7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Review deployment coverage targets and collect the planned minimum in each authorized stratum before drawing comparative conclusions.</w:t>
            </w:r>
          </w:p>
        </w:tc>
      </w:tr>
      <w:tr>
        <w:tc>
          <w:tcPr>
            <w:tcW w:type="dxa" w:w="1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Limitation</w:t>
            </w:r>
          </w:p>
        </w:tc>
        <w:tc>
          <w:tcPr>
            <w:tcW w:type="dxa" w:w="75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Small counts and non-probability field activity cannot support population-level inference.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VIII - Troubleshooting and Governance</w:t>
      </w:r>
    </w:p>
    <w:p>
      <w:r>
        <w:rPr>
          <w:rFonts w:ascii="Calibri" w:hAnsi="Calibri"/>
          <w:i w:val="0"/>
          <w:color w:val="111827"/>
        </w:rPr>
        <w:t>Use these procedures before escalating an issue or approving production use.</w:t>
      </w:r>
    </w:p>
    <w:p>
      <w:pPr>
        <w:pStyle w:val="Heading2"/>
      </w:pPr>
      <w:r>
        <w:t>30. Common issues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6610"/>
      </w:tblGrid>
      <w:tr>
        <w:trPr>
          <w:tblHeader w:val="true"/>
        </w:trPr>
        <w:tc>
          <w:tcPr>
            <w:tcW w:type="dxa" w:w="27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Symptom</w:t>
            </w:r>
          </w:p>
        </w:tc>
        <w:tc>
          <w:tcPr>
            <w:tcW w:type="dxa" w:w="66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Meaning / first action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This site can't be reached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Confirm the frontend service is running and the production HTTPS address is correct.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Network Error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Confirm the API service is running, CORS and API URL are correct, and PostgreSQL is reachable.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Permission denied / Access Denied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Confirm the signed-in role. Return to the assigned workspace or ask an administrator to review authorized access.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Pending Sync does not return to zero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Keep the workspace open with connectivity, retry, and preserve browser storage; escalate with the exact error message.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No map markers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Check whether the source attendance or field records contain authorized GPS coordinates.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GPS review required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A missing, inaccurate, unconfigured, or out-of-area location requires documented Supervisor review.</w:t>
            </w:r>
          </w:p>
        </w:tc>
      </w:tr>
      <w:tr>
        <w:tc>
          <w:tcPr>
            <w:tcW w:type="dxa" w:w="2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Raw UUID appears in Analytics</w:t>
            </w:r>
          </w:p>
        </w:tc>
        <w:tc>
          <w:tcPr>
            <w:tcW w:type="dxa" w:w="6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11827"/>
                <w:sz w:val="19"/>
              </w:rPr>
              <w:t>The legacy question lacks a friendly variable label; the answer remains analyzable but metadata should be governed in a future instrument version.</w:t>
            </w:r>
          </w:p>
        </w:tc>
      </w:tr>
    </w:tbl>
    <w:p>
      <w:pPr>
        <w:spacing w:after="0"/>
      </w:pPr>
    </w:p>
    <w:p>
      <w:pPr>
        <w:pStyle w:val="Heading2"/>
      </w:pPr>
      <w:r>
        <w:t>31. Administrator daily readiness check</w:t>
      </w:r>
    </w:p>
    <w:p>
      <w:pPr>
        <w:pStyle w:val="ListBullet"/>
      </w:pPr>
      <w:r>
        <w:t>Executive Command Center shows API and Database Online</w:t>
      </w:r>
    </w:p>
    <w:p>
      <w:pPr>
        <w:pStyle w:val="ListBullet"/>
      </w:pPr>
      <w:r>
        <w:t>System Health check passes</w:t>
      </w:r>
    </w:p>
    <w:p>
      <w:pPr>
        <w:pStyle w:val="ListBullet"/>
      </w:pPr>
      <w:r>
        <w:t>No failed jobs require attention</w:t>
      </w:r>
    </w:p>
    <w:p>
      <w:pPr>
        <w:pStyle w:val="ListBullet"/>
      </w:pPr>
      <w:r>
        <w:t>Queued-job state and worker readiness are understood</w:t>
      </w:r>
    </w:p>
    <w:p>
      <w:pPr>
        <w:pStyle w:val="ListBullet"/>
      </w:pPr>
      <w:r>
        <w:t>Deployment packages and versions are correct</w:t>
      </w:r>
    </w:p>
    <w:p>
      <w:pPr>
        <w:pStyle w:val="ListBullet"/>
      </w:pPr>
      <w:r>
        <w:t>GPS Reviews are assigned and handled</w:t>
      </w:r>
    </w:p>
    <w:p>
      <w:pPr>
        <w:pStyle w:val="ListBullet"/>
      </w:pPr>
      <w:r>
        <w:t>Notifications are reviewed</w:t>
      </w:r>
    </w:p>
    <w:p>
      <w:pPr>
        <w:pStyle w:val="ListBullet"/>
      </w:pPr>
      <w:r>
        <w:t>Backup completion is confirmed in the production hosting environment</w:t>
      </w:r>
    </w:p>
    <w:p>
      <w:pPr>
        <w:pStyle w:val="Heading2"/>
      </w:pPr>
      <w:r>
        <w:t>32. Pre-field launch checklist</w:t>
      </w:r>
    </w:p>
    <w:p>
      <w:pPr>
        <w:pStyle w:val="ListBullet"/>
      </w:pPr>
      <w:r>
        <w:t>Questionnaire approved by the data owner</w:t>
      </w:r>
    </w:p>
    <w:p>
      <w:pPr>
        <w:pStyle w:val="ListBullet"/>
      </w:pPr>
      <w:r>
        <w:t>Validation completed without errors</w:t>
      </w:r>
    </w:p>
    <w:p>
      <w:pPr>
        <w:pStyle w:val="ListBullet"/>
      </w:pPr>
      <w:r>
        <w:t>Preview tested on representative devices</w:t>
      </w:r>
    </w:p>
    <w:p>
      <w:pPr>
        <w:pStyle w:val="ListBullet"/>
      </w:pPr>
      <w:r>
        <w:t>Geographic Selector tested from country to required terminal level</w:t>
      </w:r>
    </w:p>
    <w:p>
      <w:pPr>
        <w:pStyle w:val="ListBullet"/>
      </w:pPr>
      <w:r>
        <w:t>Correct version published and packaged</w:t>
      </w:r>
    </w:p>
    <w:p>
      <w:pPr>
        <w:pStyle w:val="ListBullet"/>
      </w:pPr>
      <w:r>
        <w:t>Enumerator assignments verified</w:t>
      </w:r>
    </w:p>
    <w:p>
      <w:pPr>
        <w:pStyle w:val="ListBullet"/>
      </w:pPr>
      <w:r>
        <w:t>Supervisor accounts and escalation route verified</w:t>
      </w:r>
    </w:p>
    <w:p>
      <w:pPr>
        <w:pStyle w:val="ListBullet"/>
      </w:pPr>
      <w:r>
        <w:t>Offline save and automatic synchronization tested</w:t>
      </w:r>
    </w:p>
    <w:p>
      <w:pPr>
        <w:pStyle w:val="ListBullet"/>
      </w:pPr>
      <w:r>
        <w:t>GPS policy, permissions, geofence configuration, and exception procedure confirmed</w:t>
      </w:r>
    </w:p>
    <w:p>
      <w:pPr>
        <w:pStyle w:val="ListBullet"/>
      </w:pPr>
      <w:r>
        <w:t>Data-treatment plan and reporting denominator approved</w:t>
      </w:r>
    </w:p>
    <w:p>
      <w:pPr>
        <w:pStyle w:val="Heading2"/>
      </w:pPr>
      <w:r>
        <w:t>33. Escalation information to capture</w:t>
      </w:r>
    </w:p>
    <w:p>
      <w:pPr>
        <w:pStyle w:val="ListBullet"/>
      </w:pPr>
      <w:r>
        <w:t>User role and username (never the password)</w:t>
      </w:r>
    </w:p>
    <w:p>
      <w:pPr>
        <w:pStyle w:val="ListBullet"/>
      </w:pPr>
      <w:r>
        <w:t>Date, time, device, browser, and network condition</w:t>
      </w:r>
    </w:p>
    <w:p>
      <w:pPr>
        <w:pStyle w:val="ListBullet"/>
      </w:pPr>
      <w:r>
        <w:t>Workspace URL and exact action attempted</w:t>
      </w:r>
    </w:p>
    <w:p>
      <w:pPr>
        <w:pStyle w:val="ListBullet"/>
      </w:pPr>
      <w:r>
        <w:t>Exact error message and screenshot</w:t>
      </w:r>
    </w:p>
    <w:p>
      <w:pPr>
        <w:pStyle w:val="ListBullet"/>
      </w:pPr>
      <w:r>
        <w:t>Survey code, survey version, deployment or package identifier</w:t>
      </w:r>
    </w:p>
    <w:p>
      <w:pPr>
        <w:pStyle w:val="ListBullet"/>
      </w:pPr>
      <w:r>
        <w:t>Whether an offline record remains pending</w:t>
      </w:r>
    </w:p>
    <w:p>
      <w:pPr>
        <w:pStyle w:val="ListBullet"/>
      </w:pPr>
      <w:r>
        <w:t>Steps already attempted without clearing local data</w:t>
      </w:r>
    </w:p>
    <w:p>
      <w:pPr>
        <w:pStyle w:val="Heading2"/>
      </w:pPr>
      <w:r>
        <w:t>34. Capability boundary for Version 1.0</w:t>
      </w:r>
    </w:p>
    <w:p>
      <w:r>
        <w:rPr>
          <w:rFonts w:ascii="Calibri" w:hAnsi="Calibri"/>
          <w:i w:val="0"/>
          <w:color w:val="111827"/>
        </w:rPr>
        <w:t>The following items are not presented as completed client workflows in this manual:</w:t>
      </w:r>
    </w:p>
    <w:p>
      <w:pPr>
        <w:pStyle w:val="ListBullet"/>
      </w:pPr>
      <w:r>
        <w:t>General-purpose spreadsheet/CSV import through an administrator screen</w:t>
      </w:r>
    </w:p>
    <w:p>
      <w:pPr>
        <w:pStyle w:val="ListBullet"/>
      </w:pPr>
      <w:r>
        <w:t>Client-managed PSGC import and validation center</w:t>
      </w:r>
    </w:p>
    <w:p>
      <w:pPr>
        <w:pStyle w:val="ListBullet"/>
      </w:pPr>
      <w:r>
        <w:t>Client-authored GIS boundaries, layers, and operational groups</w:t>
      </w:r>
    </w:p>
    <w:p>
      <w:pPr>
        <w:pStyle w:val="ListBullet"/>
      </w:pPr>
      <w:r>
        <w:t>Advanced statistical modeling, weighting, significance testing, or automated narrative insight generation</w:t>
      </w:r>
    </w:p>
    <w:p>
      <w:pPr>
        <w:pStyle w:val="ListBullet"/>
      </w:pPr>
      <w:r>
        <w:t>Production enterprise-job workers for every registered job type</w:t>
      </w:r>
    </w:p>
    <w:p>
      <w:pPr>
        <w:pStyle w:val="ListBullet"/>
      </w:pPr>
      <w:r>
        <w:t>Institutional document repository workflows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EF2F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9B1C1C"/>
              </w:rPr>
              <w:t xml:space="preserve">Release discipline: </w:t>
            </w:r>
            <w:r>
              <w:rPr>
                <w:rFonts w:ascii="Calibri" w:hAnsi="Calibri"/>
                <w:color w:val="9B1C1C"/>
              </w:rPr>
              <w:t>Do not promise or train users on hidden, placeholder, or technically registered capabilities until they have an implemented screen, permission model, audit trail, tests, and client acceptance evidence.</w:t>
            </w:r>
          </w:p>
        </w:tc>
      </w:tr>
    </w:tbl>
    <w:p>
      <w:pPr>
        <w:spacing w:after="0"/>
      </w:pPr>
    </w:p>
    <w:p>
      <w:pPr>
        <w:pStyle w:val="Heading2"/>
      </w:pPr>
      <w:r>
        <w:t>35. Final operating principle</w:t>
      </w:r>
    </w:p>
    <w:p>
      <w:r>
        <w:rPr>
          <w:rFonts w:ascii="Calibri" w:hAnsi="Calibri"/>
          <w:i w:val="0"/>
          <w:color w:val="111827"/>
        </w:rPr>
        <w:t>EIOS should be operated as one governed enterprise platform: one identity model, one Geographic Master, versioned survey instruments, traceable field records, documented exception decisions, synchronized analytics, and an Executive Command Center that reports the current operational truth.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4748B"/>
        <w:sz w:val="17"/>
      </w:rPr>
      <w:t>EIOS ENTERPRISE USER MANUAL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EIOS Enterprise User Manual</dc:title>
  <dc:subject>Administrator, Supervisor, Enumerator, Survey/Census, Data Treatment and Analysis</dc:subject>
  <dc:creator>Global Zenith Research and Consulting, Inc.</dc:creator>
  <cp:keywords>EIOS, user manual, survey, census, administrator, supervisor, enumerator, analytics, GIS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