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40"/>
        <w:jc w:val="center"/>
      </w:pPr>
      <w:r>
        <w:rPr>
          <w:rFonts w:ascii="Calibri" w:hAnsi="Calibri"/>
          <w:b/>
          <w:i w:val="0"/>
          <w:color w:val="0B2545"/>
          <w:sz w:val="58"/>
        </w:rPr>
        <w:t>EIOS Mobile Enumerator Field Manual</w:t>
      </w:r>
    </w:p>
    <w:p>
      <w:pPr>
        <w:jc w:val="center"/>
      </w:pPr>
      <w:r>
        <w:rPr>
          <w:rFonts w:ascii="Calibri" w:hAnsi="Calibri"/>
          <w:b w:val="0"/>
          <w:i w:val="0"/>
          <w:color w:val="2563EB"/>
          <w:sz w:val="30"/>
        </w:rPr>
        <w:t>Smartphone and Handheld Device Guide</w:t>
      </w:r>
    </w:p>
    <w:p>
      <w:pPr>
        <w:jc w:val="center"/>
      </w:pPr>
      <w:r>
        <w:rPr>
          <w:rFonts w:ascii="Calibri" w:hAnsi="Calibri"/>
          <w:b/>
          <w:i w:val="0"/>
          <w:color w:val="2563EB"/>
          <w:sz w:val="20"/>
        </w:rPr>
        <w:t>Enterprise Intelligence and Operations System</w:t>
      </w:r>
    </w:p>
    <w:p>
      <w:pPr>
        <w:jc w:val="center"/>
      </w:pPr>
      <w:r>
        <w:rPr>
          <w:rFonts w:ascii="Calibri" w:hAnsi="Calibri"/>
          <w:b w:val="0"/>
          <w:i w:val="0"/>
          <w:color w:val="111827"/>
          <w:sz w:val="22"/>
        </w:rPr>
        <w:t>A practical field guide for assigned interviews, official geographic selection, GPS capture, offline work, automatic synchronization, privacy, and end-of-day control.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4F7FB"/>
          </w:tcPr>
          <w:p>
            <w:pPr>
              <w:spacing w:after="0"/>
            </w:pPr>
            <w:r>
              <w:rPr>
                <w:rFonts w:ascii="Calibri" w:hAnsi="Calibri"/>
                <w:b/>
                <w:i w:val="0"/>
                <w:color w:val="0B2545"/>
                <w:sz w:val="22"/>
              </w:rPr>
              <w:t xml:space="preserve">For field use: </w:t>
            </w:r>
            <w:r>
              <w:rPr>
                <w:rFonts w:ascii="Calibri" w:hAnsi="Calibri"/>
                <w:b w:val="0"/>
                <w:i w:val="0"/>
                <w:color w:val="0B2545"/>
                <w:sz w:val="22"/>
              </w:rPr>
              <w:t>Keep this manual available on the assigned device. Follow Supervisor instructions and the approved survey protocol whenever they are more specific.</w:t>
            </w:r>
          </w:p>
        </w:tc>
      </w:tr>
    </w:tbl>
    <w:p>
      <w:pPr>
        <w:spacing w:after="0"/>
      </w:pPr>
    </w:p>
    <w:p>
      <w:pPr>
        <w:jc w:val="center"/>
      </w:pPr>
      <w:r>
        <w:rPr>
          <w:rFonts w:ascii="Calibri" w:hAnsi="Calibri"/>
          <w:b/>
          <w:i w:val="0"/>
          <w:color w:val="64748B"/>
          <w:sz w:val="22"/>
        </w:rPr>
        <w:t>Version 1.0  |  August 2026</w:t>
      </w:r>
    </w:p>
    <w:p>
      <w:r>
        <w:br w:type="page"/>
      </w:r>
    </w:p>
    <w:p>
      <w:pPr>
        <w:pStyle w:val="Heading1"/>
      </w:pPr>
      <w:r>
        <w:t>Quick Start - Before You Leave for the Field</w:t>
      </w:r>
    </w:p>
    <w:p>
      <w:pPr>
        <w:pStyle w:val="ListBullet"/>
      </w:pPr>
      <w:r>
        <w:t>Use only the smartphone or handheld device authorized for the assignment.</w:t>
      </w:r>
    </w:p>
    <w:p>
      <w:pPr>
        <w:pStyle w:val="ListBullet"/>
      </w:pPr>
      <w:r>
        <w:t>Charge the device fully and carry an approved power bank and charging cable.</w:t>
      </w:r>
    </w:p>
    <w:p>
      <w:pPr>
        <w:pStyle w:val="ListBullet"/>
      </w:pPr>
      <w:r>
        <w:t>Confirm automatic date, time, and time zone are correct.</w:t>
      </w:r>
    </w:p>
    <w:p>
      <w:pPr>
        <w:pStyle w:val="ListBullet"/>
      </w:pPr>
      <w:r>
        <w:t>Confirm the approved browser opens the EIOS HTTPS address.</w:t>
      </w:r>
    </w:p>
    <w:p>
      <w:pPr>
        <w:pStyle w:val="ListBullet"/>
      </w:pPr>
      <w:r>
        <w:t>Enable mobile data or connect to the authorized network for initial login and assignment checking.</w:t>
      </w:r>
    </w:p>
    <w:p>
      <w:pPr>
        <w:pStyle w:val="ListBullet"/>
      </w:pPr>
      <w:r>
        <w:t>Enable Location/GPS and allow EIOS to request location while conducting an interview.</w:t>
      </w:r>
    </w:p>
    <w:p>
      <w:pPr>
        <w:pStyle w:val="ListBullet"/>
      </w:pPr>
      <w:r>
        <w:t>Confirm your named account works; never borrow another Enumerator's account.</w:t>
      </w:r>
    </w:p>
    <w:p>
      <w:pPr>
        <w:pStyle w:val="ListBullet"/>
      </w:pPr>
      <w:r>
        <w:t>Open My Assignment and verify mission, deployment, survey version, target, and area.</w:t>
      </w:r>
    </w:p>
    <w:p>
      <w:pPr>
        <w:pStyle w:val="ListBullet"/>
      </w:pPr>
      <w:r>
        <w:t>Keep sufficient free device storage and close unnecessary apps.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EF2F2"/>
          </w:tcPr>
          <w:p>
            <w:pPr>
              <w:spacing w:after="0"/>
            </w:pPr>
            <w:r>
              <w:rPr>
                <w:rFonts w:ascii="Calibri" w:hAnsi="Calibri"/>
                <w:b/>
                <w:i w:val="0"/>
                <w:color w:val="9B1C1C"/>
                <w:sz w:val="22"/>
              </w:rPr>
              <w:t xml:space="preserve">Never use private mode: </w:t>
            </w:r>
            <w:r>
              <w:rPr>
                <w:rFonts w:ascii="Calibri" w:hAnsi="Calibri"/>
                <w:b w:val="0"/>
                <w:i w:val="0"/>
                <w:color w:val="9B1C1C"/>
                <w:sz w:val="22"/>
              </w:rPr>
              <w:t>Do not use Incognito, Private Browsing, guest mode, or an app that automatically clears browser data. Pending offline interviews depend on protected browser storage until synchronized.</w:t>
            </w:r>
          </w:p>
        </w:tc>
      </w:tr>
    </w:tbl>
    <w:p>
      <w:pPr>
        <w:spacing w:after="0"/>
      </w:pPr>
    </w:p>
    <w:p>
      <w:pPr>
        <w:pStyle w:val="Heading2"/>
      </w:pPr>
      <w:r>
        <w:t>Recommended device condition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110" w:type="dxa"/>
              <w:start w:w="120" w:type="dxa"/>
              <w:bottom w:w="110" w:type="dxa"/>
              <w:end w:w="120" w:type="dxa"/>
            </w:tcMar>
          </w:tcPr>
          <w:p>
            <w:pPr>
              <w:spacing w:after="0"/>
            </w:pPr>
            <w:r>
              <w:rPr>
                <w:rFonts w:ascii="Calibri" w:hAnsi="Calibri"/>
                <w:b/>
                <w:i w:val="0"/>
                <w:color w:val="0B2545"/>
                <w:sz w:val="19"/>
              </w:rPr>
              <w:t>Item</w:t>
            </w:r>
          </w:p>
        </w:tc>
        <w:tc>
          <w:tcPr>
            <w:tcW w:type="dxa" w:w="7260"/>
            <w:shd w:fill="E8EEF5"/>
            <w:vAlign w:val="center"/>
            <w:tcMar>
              <w:top w:w="110" w:type="dxa"/>
              <w:start w:w="120" w:type="dxa"/>
              <w:bottom w:w="110" w:type="dxa"/>
              <w:end w:w="120" w:type="dxa"/>
            </w:tcMar>
          </w:tcPr>
          <w:p>
            <w:pPr>
              <w:spacing w:after="0"/>
            </w:pPr>
            <w:r>
              <w:rPr>
                <w:rFonts w:ascii="Calibri" w:hAnsi="Calibri"/>
                <w:b/>
                <w:i w:val="0"/>
                <w:color w:val="0B2545"/>
                <w:sz w:val="19"/>
              </w:rPr>
              <w:t>Field-ready condition</w:t>
            </w:r>
          </w:p>
        </w:tc>
      </w:tr>
      <w:tr>
        <w:tc>
          <w:tcPr>
            <w:tcW w:type="dxa" w:w="2100"/>
            <w:vAlign w:val="center"/>
            <w:tcMar>
              <w:top w:w="110" w:type="dxa"/>
              <w:start w:w="120" w:type="dxa"/>
              <w:bottom w:w="110" w:type="dxa"/>
              <w:end w:w="120" w:type="dxa"/>
            </w:tcMar>
          </w:tcPr>
          <w:p>
            <w:pPr>
              <w:spacing w:after="0"/>
            </w:pPr>
            <w:r>
              <w:rPr>
                <w:rFonts w:ascii="Calibri" w:hAnsi="Calibri"/>
                <w:b w:val="0"/>
                <w:i w:val="0"/>
                <w:color w:val="111827"/>
                <w:sz w:val="19"/>
              </w:rPr>
              <w:t>Battery</w:t>
            </w:r>
          </w:p>
        </w:tc>
        <w:tc>
          <w:tcPr>
            <w:tcW w:type="dxa" w:w="7260"/>
            <w:vAlign w:val="center"/>
            <w:tcMar>
              <w:top w:w="110" w:type="dxa"/>
              <w:start w:w="120" w:type="dxa"/>
              <w:bottom w:w="110" w:type="dxa"/>
              <w:end w:w="120" w:type="dxa"/>
            </w:tcMar>
          </w:tcPr>
          <w:p>
            <w:pPr>
              <w:spacing w:after="0"/>
            </w:pPr>
            <w:r>
              <w:rPr>
                <w:rFonts w:ascii="Calibri" w:hAnsi="Calibri"/>
                <w:b w:val="0"/>
                <w:i w:val="0"/>
                <w:color w:val="111827"/>
                <w:sz w:val="19"/>
              </w:rPr>
              <w:t>Fully charged; power bank available</w:t>
            </w:r>
          </w:p>
        </w:tc>
      </w:tr>
      <w:tr>
        <w:tc>
          <w:tcPr>
            <w:tcW w:type="dxa" w:w="2100"/>
            <w:vAlign w:val="center"/>
            <w:tcMar>
              <w:top w:w="110" w:type="dxa"/>
              <w:start w:w="120" w:type="dxa"/>
              <w:bottom w:w="110" w:type="dxa"/>
              <w:end w:w="120" w:type="dxa"/>
            </w:tcMar>
          </w:tcPr>
          <w:p>
            <w:pPr>
              <w:spacing w:after="0"/>
            </w:pPr>
            <w:r>
              <w:rPr>
                <w:rFonts w:ascii="Calibri" w:hAnsi="Calibri"/>
                <w:b w:val="0"/>
                <w:i w:val="0"/>
                <w:color w:val="111827"/>
                <w:sz w:val="19"/>
              </w:rPr>
              <w:t>Network</w:t>
            </w:r>
          </w:p>
        </w:tc>
        <w:tc>
          <w:tcPr>
            <w:tcW w:type="dxa" w:w="7260"/>
            <w:vAlign w:val="center"/>
            <w:tcMar>
              <w:top w:w="110" w:type="dxa"/>
              <w:start w:w="120" w:type="dxa"/>
              <w:bottom w:w="110" w:type="dxa"/>
              <w:end w:w="120" w:type="dxa"/>
            </w:tcMar>
          </w:tcPr>
          <w:p>
            <w:pPr>
              <w:spacing w:after="0"/>
            </w:pPr>
            <w:r>
              <w:rPr>
                <w:rFonts w:ascii="Calibri" w:hAnsi="Calibri"/>
                <w:b w:val="0"/>
                <w:i w:val="0"/>
                <w:color w:val="111827"/>
                <w:sz w:val="19"/>
              </w:rPr>
              <w:t>Mobile data available for login and synchronization</w:t>
            </w:r>
          </w:p>
        </w:tc>
      </w:tr>
      <w:tr>
        <w:tc>
          <w:tcPr>
            <w:tcW w:type="dxa" w:w="2100"/>
            <w:vAlign w:val="center"/>
            <w:tcMar>
              <w:top w:w="110" w:type="dxa"/>
              <w:start w:w="120" w:type="dxa"/>
              <w:bottom w:w="110" w:type="dxa"/>
              <w:end w:w="120" w:type="dxa"/>
            </w:tcMar>
          </w:tcPr>
          <w:p>
            <w:pPr>
              <w:spacing w:after="0"/>
            </w:pPr>
            <w:r>
              <w:rPr>
                <w:rFonts w:ascii="Calibri" w:hAnsi="Calibri"/>
                <w:b w:val="0"/>
                <w:i w:val="0"/>
                <w:color w:val="111827"/>
                <w:sz w:val="19"/>
              </w:rPr>
              <w:t>Location</w:t>
            </w:r>
          </w:p>
        </w:tc>
        <w:tc>
          <w:tcPr>
            <w:tcW w:type="dxa" w:w="7260"/>
            <w:vAlign w:val="center"/>
            <w:tcMar>
              <w:top w:w="110" w:type="dxa"/>
              <w:start w:w="120" w:type="dxa"/>
              <w:bottom w:w="110" w:type="dxa"/>
              <w:end w:w="120" w:type="dxa"/>
            </w:tcMar>
          </w:tcPr>
          <w:p>
            <w:pPr>
              <w:spacing w:after="0"/>
            </w:pPr>
            <w:r>
              <w:rPr>
                <w:rFonts w:ascii="Calibri" w:hAnsi="Calibri"/>
                <w:b w:val="0"/>
                <w:i w:val="0"/>
                <w:color w:val="111827"/>
                <w:sz w:val="19"/>
              </w:rPr>
              <w:t>GPS/Location enabled; browser permission allowed</w:t>
            </w:r>
          </w:p>
        </w:tc>
      </w:tr>
      <w:tr>
        <w:tc>
          <w:tcPr>
            <w:tcW w:type="dxa" w:w="2100"/>
            <w:vAlign w:val="center"/>
            <w:tcMar>
              <w:top w:w="110" w:type="dxa"/>
              <w:start w:w="120" w:type="dxa"/>
              <w:bottom w:w="110" w:type="dxa"/>
              <w:end w:w="120" w:type="dxa"/>
            </w:tcMar>
          </w:tcPr>
          <w:p>
            <w:pPr>
              <w:spacing w:after="0"/>
            </w:pPr>
            <w:r>
              <w:rPr>
                <w:rFonts w:ascii="Calibri" w:hAnsi="Calibri"/>
                <w:b w:val="0"/>
                <w:i w:val="0"/>
                <w:color w:val="111827"/>
                <w:sz w:val="19"/>
              </w:rPr>
              <w:t>Time</w:t>
            </w:r>
          </w:p>
        </w:tc>
        <w:tc>
          <w:tcPr>
            <w:tcW w:type="dxa" w:w="7260"/>
            <w:vAlign w:val="center"/>
            <w:tcMar>
              <w:top w:w="110" w:type="dxa"/>
              <w:start w:w="120" w:type="dxa"/>
              <w:bottom w:w="110" w:type="dxa"/>
              <w:end w:w="120" w:type="dxa"/>
            </w:tcMar>
          </w:tcPr>
          <w:p>
            <w:pPr>
              <w:spacing w:after="0"/>
            </w:pPr>
            <w:r>
              <w:rPr>
                <w:rFonts w:ascii="Calibri" w:hAnsi="Calibri"/>
                <w:b w:val="0"/>
                <w:i w:val="0"/>
                <w:color w:val="111827"/>
                <w:sz w:val="19"/>
              </w:rPr>
              <w:t>Automatic date, time, and time zone enabled</w:t>
            </w:r>
          </w:p>
        </w:tc>
      </w:tr>
      <w:tr>
        <w:tc>
          <w:tcPr>
            <w:tcW w:type="dxa" w:w="2100"/>
            <w:vAlign w:val="center"/>
            <w:tcMar>
              <w:top w:w="110" w:type="dxa"/>
              <w:start w:w="120" w:type="dxa"/>
              <w:bottom w:w="110" w:type="dxa"/>
              <w:end w:w="120" w:type="dxa"/>
            </w:tcMar>
          </w:tcPr>
          <w:p>
            <w:pPr>
              <w:spacing w:after="0"/>
            </w:pPr>
            <w:r>
              <w:rPr>
                <w:rFonts w:ascii="Calibri" w:hAnsi="Calibri"/>
                <w:b w:val="0"/>
                <w:i w:val="0"/>
                <w:color w:val="111827"/>
                <w:sz w:val="19"/>
              </w:rPr>
              <w:t>Browser</w:t>
            </w:r>
          </w:p>
        </w:tc>
        <w:tc>
          <w:tcPr>
            <w:tcW w:type="dxa" w:w="7260"/>
            <w:vAlign w:val="center"/>
            <w:tcMar>
              <w:top w:w="110" w:type="dxa"/>
              <w:start w:w="120" w:type="dxa"/>
              <w:bottom w:w="110" w:type="dxa"/>
              <w:end w:w="120" w:type="dxa"/>
            </w:tcMar>
          </w:tcPr>
          <w:p>
            <w:pPr>
              <w:spacing w:after="0"/>
            </w:pPr>
            <w:r>
              <w:rPr>
                <w:rFonts w:ascii="Calibri" w:hAnsi="Calibri"/>
                <w:b w:val="0"/>
                <w:i w:val="0"/>
                <w:color w:val="111827"/>
                <w:sz w:val="19"/>
              </w:rPr>
              <w:t>Current organization-approved Chrome, Safari, or equivalent browser</w:t>
            </w:r>
          </w:p>
        </w:tc>
      </w:tr>
      <w:tr>
        <w:tc>
          <w:tcPr>
            <w:tcW w:type="dxa" w:w="2100"/>
            <w:vAlign w:val="center"/>
            <w:tcMar>
              <w:top w:w="110" w:type="dxa"/>
              <w:start w:w="120" w:type="dxa"/>
              <w:bottom w:w="110" w:type="dxa"/>
              <w:end w:w="120" w:type="dxa"/>
            </w:tcMar>
          </w:tcPr>
          <w:p>
            <w:pPr>
              <w:spacing w:after="0"/>
            </w:pPr>
            <w:r>
              <w:rPr>
                <w:rFonts w:ascii="Calibri" w:hAnsi="Calibri"/>
                <w:b w:val="0"/>
                <w:i w:val="0"/>
                <w:color w:val="111827"/>
                <w:sz w:val="19"/>
              </w:rPr>
              <w:t>Security</w:t>
            </w:r>
          </w:p>
        </w:tc>
        <w:tc>
          <w:tcPr>
            <w:tcW w:type="dxa" w:w="7260"/>
            <w:vAlign w:val="center"/>
            <w:tcMar>
              <w:top w:w="110" w:type="dxa"/>
              <w:start w:w="120" w:type="dxa"/>
              <w:bottom w:w="110" w:type="dxa"/>
              <w:end w:w="120" w:type="dxa"/>
            </w:tcMar>
          </w:tcPr>
          <w:p>
            <w:pPr>
              <w:spacing w:after="0"/>
            </w:pPr>
            <w:r>
              <w:rPr>
                <w:rFonts w:ascii="Calibri" w:hAnsi="Calibri"/>
                <w:b w:val="0"/>
                <w:i w:val="0"/>
                <w:color w:val="111827"/>
                <w:sz w:val="19"/>
              </w:rPr>
              <w:t>Screen lock enabled; no shared PIN; device remains with Enumerator</w:t>
            </w:r>
          </w:p>
        </w:tc>
      </w:tr>
    </w:tbl>
    <w:p>
      <w:pPr>
        <w:spacing w:after="0"/>
      </w:pPr>
    </w:p>
    <w:p>
      <w:r>
        <w:br w:type="page"/>
      </w:r>
    </w:p>
    <w:p>
      <w:pPr>
        <w:pStyle w:val="Heading1"/>
      </w:pPr>
      <w:r>
        <w:t>1. Open EIOS and Sign In</w:t>
      </w:r>
    </w:p>
    <w:p>
      <w:pPr>
        <w:pStyle w:val="ListNumber"/>
      </w:pPr>
      <w:r>
        <w:t>Open the approved browser on the assigned device.</w:t>
      </w:r>
    </w:p>
    <w:p>
      <w:pPr>
        <w:pStyle w:val="ListNumber"/>
      </w:pPr>
      <w:r>
        <w:t>Enter the official EIOS HTTPS address provided by the organization. Bookmark it to avoid typing mistakes.</w:t>
      </w:r>
    </w:p>
    <w:p>
      <w:pPr>
        <w:pStyle w:val="ListNumber"/>
      </w:pPr>
      <w:r>
        <w:t>Enter your own username and password.</w:t>
      </w:r>
    </w:p>
    <w:p>
      <w:pPr>
        <w:pStyle w:val="ListNumber"/>
      </w:pPr>
      <w:r>
        <w:t>Tap Access EIOS Platform once and wait for the response.</w:t>
      </w:r>
    </w:p>
    <w:p>
      <w:pPr>
        <w:pStyle w:val="ListNumber"/>
      </w:pPr>
      <w:r>
        <w:t>If first login opens Change Password, enter the temporary password, then create and confirm a unique password of at least 12 characters.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FF8E1"/>
          </w:tcPr>
          <w:p>
            <w:pPr>
              <w:spacing w:after="0"/>
            </w:pPr>
            <w:r>
              <w:rPr>
                <w:rFonts w:ascii="Calibri" w:hAnsi="Calibri"/>
                <w:b/>
                <w:i w:val="0"/>
                <w:color w:val="7A5A00"/>
                <w:sz w:val="22"/>
              </w:rPr>
              <w:t xml:space="preserve">Protect credentials: </w:t>
            </w:r>
            <w:r>
              <w:rPr>
                <w:rFonts w:ascii="Calibri" w:hAnsi="Calibri"/>
                <w:b w:val="0"/>
                <w:i w:val="0"/>
                <w:color w:val="7A5A00"/>
                <w:sz w:val="22"/>
              </w:rPr>
              <w:t>Do not save a password on a shared device, send it by chat, write it on the phone case, or disclose it to a respondent. Supervisors and administrators should never ask for your password.</w:t>
            </w:r>
          </w:p>
        </w:tc>
      </w:tr>
    </w:tbl>
    <w:p>
      <w:pPr>
        <w:spacing w:after="0"/>
      </w:pPr>
    </w:p>
    <w:p>
      <w:pPr>
        <w:pStyle w:val="Heading2"/>
      </w:pPr>
      <w:r>
        <w:t>If the page is too small</w:t>
      </w:r>
    </w:p>
    <w:p>
      <w:pPr>
        <w:pStyle w:val="ListBullet"/>
      </w:pPr>
      <w:r>
        <w:t>Hold the phone upright unless a table or form is easier in landscape.</w:t>
      </w:r>
    </w:p>
    <w:p>
      <w:pPr>
        <w:pStyle w:val="ListBullet"/>
      </w:pPr>
      <w:r>
        <w:t>Use normal browser zoom first. Excessive zoom can hide buttons or fields.</w:t>
      </w:r>
    </w:p>
    <w:p>
      <w:pPr>
        <w:pStyle w:val="ListBullet"/>
      </w:pPr>
      <w:r>
        <w:t>Scroll vertically to find the next field or action; do not assume the page is finished because the button is below the screen.</w:t>
      </w:r>
    </w:p>
    <w:p>
      <w:pPr>
        <w:pStyle w:val="ListBullet"/>
      </w:pPr>
      <w:r>
        <w:t>Do not enable desktop-site mode unless technical support instructs you to do so.</w:t>
      </w:r>
    </w:p>
    <w:p>
      <w:pPr>
        <w:pStyle w:val="Heading2"/>
      </w:pPr>
      <w:r>
        <w:t>If Access Denied appears</w:t>
      </w:r>
    </w:p>
    <w:p>
      <w:pPr>
        <w:pStyle w:val="ListBullet"/>
      </w:pPr>
      <w:r>
        <w:t>Tap Return to workspace to go back to the Enumerator workspace.</w:t>
      </w:r>
    </w:p>
    <w:p>
      <w:pPr>
        <w:pStyle w:val="ListBullet"/>
      </w:pPr>
      <w:r>
        <w:t>Tap Sign out if the wrong account is active.</w:t>
      </w:r>
    </w:p>
    <w:p>
      <w:pPr>
        <w:pStyle w:val="ListBullet"/>
      </w:pPr>
      <w:r>
        <w:t>Do not attempt to open Administrator or Supervisor URLs.</w:t>
      </w:r>
    </w:p>
    <w:p>
      <w:r>
        <w:br w:type="page"/>
      </w:r>
    </w:p>
    <w:p>
      <w:pPr>
        <w:pStyle w:val="Heading1"/>
      </w:pPr>
      <w:r>
        <w:t>2. Verify Today's Mission</w:t>
      </w:r>
    </w:p>
    <w:p>
      <w:pPr>
        <w:jc w:val="left"/>
      </w:pPr>
      <w:r>
        <w:rPr>
          <w:rFonts w:ascii="Calibri" w:hAnsi="Calibri"/>
          <w:b w:val="0"/>
          <w:i w:val="0"/>
          <w:color w:val="111827"/>
          <w:sz w:val="22"/>
        </w:rPr>
        <w:t>The Field Enumerator Workspace is your operational home. Review it before every field session.</w:t>
      </w:r>
    </w:p>
    <w:p>
      <w:pPr>
        <w:pStyle w:val="ListNumber"/>
      </w:pPr>
      <w:r>
        <w:t>Read Today's Mission and confirm the survey or census assignment name.</w:t>
      </w:r>
    </w:p>
    <w:p>
      <w:pPr>
        <w:pStyle w:val="ListNumber"/>
      </w:pPr>
      <w:r>
        <w:t>Confirm Role is Enumerator and Assignment is Assigned.</w:t>
      </w:r>
    </w:p>
    <w:p>
      <w:pPr>
        <w:pStyle w:val="ListNumber"/>
      </w:pPr>
      <w:r>
        <w:t>Confirm Deployment is Ready.</w:t>
      </w:r>
    </w:p>
    <w:p>
      <w:pPr>
        <w:pStyle w:val="ListNumber"/>
      </w:pPr>
      <w:r>
        <w:t>Confirm Survey Package shows the expected version.</w:t>
      </w:r>
    </w:p>
    <w:p>
      <w:pPr>
        <w:pStyle w:val="ListNumber"/>
      </w:pPr>
      <w:r>
        <w:t>Confirm the displayed Area matches the authorized field location.</w:t>
      </w:r>
    </w:p>
    <w:p>
      <w:pPr>
        <w:pStyle w:val="ListNumber"/>
      </w:pPr>
      <w:r>
        <w:t>Review Target, Completed, Pending Sync, and Remaining.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EF2F2"/>
          </w:tcPr>
          <w:p>
            <w:pPr>
              <w:spacing w:after="0"/>
            </w:pPr>
            <w:r>
              <w:rPr>
                <w:rFonts w:ascii="Calibri" w:hAnsi="Calibri"/>
                <w:b/>
                <w:i w:val="0"/>
                <w:color w:val="9B1C1C"/>
                <w:sz w:val="22"/>
              </w:rPr>
              <w:t xml:space="preserve">Stop condition: </w:t>
            </w:r>
            <w:r>
              <w:rPr>
                <w:rFonts w:ascii="Calibri" w:hAnsi="Calibri"/>
                <w:b w:val="0"/>
                <w:i w:val="0"/>
                <w:color w:val="9B1C1C"/>
                <w:sz w:val="22"/>
              </w:rPr>
              <w:t>Do not start interviews if the mission, version, deployment, or area is wrong. Take a screenshot and contact the Supervisor.</w:t>
            </w:r>
          </w:p>
        </w:tc>
      </w:tr>
    </w:tbl>
    <w:p>
      <w:pPr>
        <w:spacing w:after="0"/>
      </w:pPr>
    </w:p>
    <w:p>
      <w:pPr>
        <w:pStyle w:val="Heading2"/>
      </w:pPr>
      <w:r>
        <w:t>Understand the counters</w:t>
      </w:r>
    </w:p>
    <w:tbl>
      <w:tblPr>
        <w:tblStyle w:val="TableGrid"/>
        <w:tblW w:type="dxa" w:w="9360"/>
        <w:jc w:val="left"/>
        <w:tblLayout w:type="fixed"/>
        <w:tblLook w:firstColumn="1" w:firstRow="1" w:lastColumn="0" w:lastRow="0" w:noHBand="0" w:noVBand="1" w:val="04A0"/>
        <w:tblInd w:w="120" w:type="dxa"/>
      </w:tblPr>
      <w:tblGrid>
        <w:gridCol w:w="1700"/>
        <w:gridCol w:w="3700"/>
        <w:gridCol w:w="3960"/>
      </w:tblGrid>
      <w:tr>
        <w:trPr>
          <w:tblHeader w:val="true"/>
        </w:trPr>
        <w:tc>
          <w:tcPr>
            <w:tcW w:type="dxa" w:w="1700"/>
            <w:shd w:fill="E8EEF5"/>
            <w:vAlign w:val="center"/>
            <w:tcMar>
              <w:top w:w="110" w:type="dxa"/>
              <w:start w:w="120" w:type="dxa"/>
              <w:bottom w:w="110" w:type="dxa"/>
              <w:end w:w="120" w:type="dxa"/>
            </w:tcMar>
          </w:tcPr>
          <w:p>
            <w:pPr>
              <w:spacing w:after="0"/>
            </w:pPr>
            <w:r>
              <w:rPr>
                <w:rFonts w:ascii="Calibri" w:hAnsi="Calibri"/>
                <w:b/>
                <w:i w:val="0"/>
                <w:color w:val="0B2545"/>
                <w:sz w:val="19"/>
              </w:rPr>
              <w:t>Counter</w:t>
            </w:r>
          </w:p>
        </w:tc>
        <w:tc>
          <w:tcPr>
            <w:tcW w:type="dxa" w:w="3700"/>
            <w:shd w:fill="E8EEF5"/>
            <w:vAlign w:val="center"/>
            <w:tcMar>
              <w:top w:w="110" w:type="dxa"/>
              <w:start w:w="120" w:type="dxa"/>
              <w:bottom w:w="110" w:type="dxa"/>
              <w:end w:w="120" w:type="dxa"/>
            </w:tcMar>
          </w:tcPr>
          <w:p>
            <w:pPr>
              <w:spacing w:after="0"/>
            </w:pPr>
            <w:r>
              <w:rPr>
                <w:rFonts w:ascii="Calibri" w:hAnsi="Calibri"/>
                <w:b/>
                <w:i w:val="0"/>
                <w:color w:val="0B2545"/>
                <w:sz w:val="19"/>
              </w:rPr>
              <w:t>Meaning</w:t>
            </w:r>
          </w:p>
        </w:tc>
        <w:tc>
          <w:tcPr>
            <w:tcW w:type="dxa" w:w="3960"/>
            <w:shd w:fill="E8EEF5"/>
            <w:vAlign w:val="center"/>
            <w:tcMar>
              <w:top w:w="110" w:type="dxa"/>
              <w:start w:w="120" w:type="dxa"/>
              <w:bottom w:w="110" w:type="dxa"/>
              <w:end w:w="120" w:type="dxa"/>
            </w:tcMar>
          </w:tcPr>
          <w:p>
            <w:pPr>
              <w:spacing w:after="0"/>
            </w:pPr>
            <w:r>
              <w:rPr>
                <w:rFonts w:ascii="Calibri" w:hAnsi="Calibri"/>
                <w:b/>
                <w:i w:val="0"/>
                <w:color w:val="0B2545"/>
                <w:sz w:val="19"/>
              </w:rPr>
              <w:t>Enumerator action</w:t>
            </w:r>
          </w:p>
        </w:tc>
      </w:tr>
      <w:tr>
        <w:tc>
          <w:tcPr>
            <w:tcW w:type="dxa" w:w="1700"/>
            <w:vAlign w:val="center"/>
            <w:tcMar>
              <w:top w:w="110" w:type="dxa"/>
              <w:start w:w="120" w:type="dxa"/>
              <w:bottom w:w="110" w:type="dxa"/>
              <w:end w:w="120" w:type="dxa"/>
            </w:tcMar>
          </w:tcPr>
          <w:p>
            <w:pPr>
              <w:spacing w:after="0"/>
            </w:pPr>
            <w:r>
              <w:rPr>
                <w:rFonts w:ascii="Calibri" w:hAnsi="Calibri"/>
                <w:b w:val="0"/>
                <w:i w:val="0"/>
                <w:color w:val="111827"/>
                <w:sz w:val="19"/>
              </w:rPr>
              <w:t>Target</w:t>
            </w:r>
          </w:p>
        </w:tc>
        <w:tc>
          <w:tcPr>
            <w:tcW w:type="dxa" w:w="3700"/>
            <w:vAlign w:val="center"/>
            <w:tcMar>
              <w:top w:w="110" w:type="dxa"/>
              <w:start w:w="120" w:type="dxa"/>
              <w:bottom w:w="110" w:type="dxa"/>
              <w:end w:w="120" w:type="dxa"/>
            </w:tcMar>
          </w:tcPr>
          <w:p>
            <w:pPr>
              <w:spacing w:after="0"/>
            </w:pPr>
            <w:r>
              <w:rPr>
                <w:rFonts w:ascii="Calibri" w:hAnsi="Calibri"/>
                <w:b w:val="0"/>
                <w:i w:val="0"/>
                <w:color w:val="111827"/>
                <w:sz w:val="19"/>
              </w:rPr>
              <w:t>Planned number of completed interviews</w:t>
            </w:r>
          </w:p>
        </w:tc>
        <w:tc>
          <w:tcPr>
            <w:tcW w:type="dxa" w:w="3960"/>
            <w:vAlign w:val="center"/>
            <w:tcMar>
              <w:top w:w="110" w:type="dxa"/>
              <w:start w:w="120" w:type="dxa"/>
              <w:bottom w:w="110" w:type="dxa"/>
              <w:end w:w="120" w:type="dxa"/>
            </w:tcMar>
          </w:tcPr>
          <w:p>
            <w:pPr>
              <w:spacing w:after="0"/>
            </w:pPr>
            <w:r>
              <w:rPr>
                <w:rFonts w:ascii="Calibri" w:hAnsi="Calibri"/>
                <w:b w:val="0"/>
                <w:i w:val="0"/>
                <w:color w:val="111827"/>
                <w:sz w:val="19"/>
              </w:rPr>
              <w:t>Follow the approved field allocation</w:t>
            </w:r>
          </w:p>
        </w:tc>
      </w:tr>
      <w:tr>
        <w:tc>
          <w:tcPr>
            <w:tcW w:type="dxa" w:w="1700"/>
            <w:vAlign w:val="center"/>
            <w:tcMar>
              <w:top w:w="110" w:type="dxa"/>
              <w:start w:w="120" w:type="dxa"/>
              <w:bottom w:w="110" w:type="dxa"/>
              <w:end w:w="120" w:type="dxa"/>
            </w:tcMar>
          </w:tcPr>
          <w:p>
            <w:pPr>
              <w:spacing w:after="0"/>
            </w:pPr>
            <w:r>
              <w:rPr>
                <w:rFonts w:ascii="Calibri" w:hAnsi="Calibri"/>
                <w:b w:val="0"/>
                <w:i w:val="0"/>
                <w:color w:val="111827"/>
                <w:sz w:val="19"/>
              </w:rPr>
              <w:t>Completed</w:t>
            </w:r>
          </w:p>
        </w:tc>
        <w:tc>
          <w:tcPr>
            <w:tcW w:type="dxa" w:w="3700"/>
            <w:vAlign w:val="center"/>
            <w:tcMar>
              <w:top w:w="110" w:type="dxa"/>
              <w:start w:w="120" w:type="dxa"/>
              <w:bottom w:w="110" w:type="dxa"/>
              <w:end w:w="120" w:type="dxa"/>
            </w:tcMar>
          </w:tcPr>
          <w:p>
            <w:pPr>
              <w:spacing w:after="0"/>
            </w:pPr>
            <w:r>
              <w:rPr>
                <w:rFonts w:ascii="Calibri" w:hAnsi="Calibri"/>
                <w:b w:val="0"/>
                <w:i w:val="0"/>
                <w:color w:val="111827"/>
                <w:sz w:val="19"/>
              </w:rPr>
              <w:t>Interviews credited to the assignment</w:t>
            </w:r>
          </w:p>
        </w:tc>
        <w:tc>
          <w:tcPr>
            <w:tcW w:type="dxa" w:w="3960"/>
            <w:vAlign w:val="center"/>
            <w:tcMar>
              <w:top w:w="110" w:type="dxa"/>
              <w:start w:w="120" w:type="dxa"/>
              <w:bottom w:w="110" w:type="dxa"/>
              <w:end w:w="120" w:type="dxa"/>
            </w:tcMar>
          </w:tcPr>
          <w:p>
            <w:pPr>
              <w:spacing w:after="0"/>
            </w:pPr>
            <w:r>
              <w:rPr>
                <w:rFonts w:ascii="Calibri" w:hAnsi="Calibri"/>
                <w:b w:val="0"/>
                <w:i w:val="0"/>
                <w:color w:val="111827"/>
                <w:sz w:val="19"/>
              </w:rPr>
              <w:t>Use for progress, not as permission to exceed scope</w:t>
            </w:r>
          </w:p>
        </w:tc>
      </w:tr>
      <w:tr>
        <w:tc>
          <w:tcPr>
            <w:tcW w:type="dxa" w:w="1700"/>
            <w:vAlign w:val="center"/>
            <w:tcMar>
              <w:top w:w="110" w:type="dxa"/>
              <w:start w:w="120" w:type="dxa"/>
              <w:bottom w:w="110" w:type="dxa"/>
              <w:end w:w="120" w:type="dxa"/>
            </w:tcMar>
          </w:tcPr>
          <w:p>
            <w:pPr>
              <w:spacing w:after="0"/>
            </w:pPr>
            <w:r>
              <w:rPr>
                <w:rFonts w:ascii="Calibri" w:hAnsi="Calibri"/>
                <w:b w:val="0"/>
                <w:i w:val="0"/>
                <w:color w:val="111827"/>
                <w:sz w:val="19"/>
              </w:rPr>
              <w:t>Pending Sync</w:t>
            </w:r>
          </w:p>
        </w:tc>
        <w:tc>
          <w:tcPr>
            <w:tcW w:type="dxa" w:w="3700"/>
            <w:vAlign w:val="center"/>
            <w:tcMar>
              <w:top w:w="110" w:type="dxa"/>
              <w:start w:w="120" w:type="dxa"/>
              <w:bottom w:w="110" w:type="dxa"/>
              <w:end w:w="120" w:type="dxa"/>
            </w:tcMar>
          </w:tcPr>
          <w:p>
            <w:pPr>
              <w:spacing w:after="0"/>
            </w:pPr>
            <w:r>
              <w:rPr>
                <w:rFonts w:ascii="Calibri" w:hAnsi="Calibri"/>
                <w:b w:val="0"/>
                <w:i w:val="0"/>
                <w:color w:val="111827"/>
                <w:sz w:val="19"/>
              </w:rPr>
              <w:t>Saved interviews still waiting for server receipt</w:t>
            </w:r>
          </w:p>
        </w:tc>
        <w:tc>
          <w:tcPr>
            <w:tcW w:type="dxa" w:w="3960"/>
            <w:vAlign w:val="center"/>
            <w:tcMar>
              <w:top w:w="110" w:type="dxa"/>
              <w:start w:w="120" w:type="dxa"/>
              <w:bottom w:w="110" w:type="dxa"/>
              <w:end w:w="120" w:type="dxa"/>
            </w:tcMar>
          </w:tcPr>
          <w:p>
            <w:pPr>
              <w:spacing w:after="0"/>
            </w:pPr>
            <w:r>
              <w:rPr>
                <w:rFonts w:ascii="Calibri" w:hAnsi="Calibri"/>
                <w:b w:val="0"/>
                <w:i w:val="0"/>
                <w:color w:val="111827"/>
                <w:sz w:val="19"/>
              </w:rPr>
              <w:t>Preserve browser storage and reconnect</w:t>
            </w:r>
          </w:p>
        </w:tc>
      </w:tr>
      <w:tr>
        <w:tc>
          <w:tcPr>
            <w:tcW w:type="dxa" w:w="1700"/>
            <w:vAlign w:val="center"/>
            <w:tcMar>
              <w:top w:w="110" w:type="dxa"/>
              <w:start w:w="120" w:type="dxa"/>
              <w:bottom w:w="110" w:type="dxa"/>
              <w:end w:w="120" w:type="dxa"/>
            </w:tcMar>
          </w:tcPr>
          <w:p>
            <w:pPr>
              <w:spacing w:after="0"/>
            </w:pPr>
            <w:r>
              <w:rPr>
                <w:rFonts w:ascii="Calibri" w:hAnsi="Calibri"/>
                <w:b w:val="0"/>
                <w:i w:val="0"/>
                <w:color w:val="111827"/>
                <w:sz w:val="19"/>
              </w:rPr>
              <w:t>Remaining</w:t>
            </w:r>
          </w:p>
        </w:tc>
        <w:tc>
          <w:tcPr>
            <w:tcW w:type="dxa" w:w="3700"/>
            <w:vAlign w:val="center"/>
            <w:tcMar>
              <w:top w:w="110" w:type="dxa"/>
              <w:start w:w="120" w:type="dxa"/>
              <w:bottom w:w="110" w:type="dxa"/>
              <w:end w:w="120" w:type="dxa"/>
            </w:tcMar>
          </w:tcPr>
          <w:p>
            <w:pPr>
              <w:spacing w:after="0"/>
            </w:pPr>
            <w:r>
              <w:rPr>
                <w:rFonts w:ascii="Calibri" w:hAnsi="Calibri"/>
                <w:b w:val="0"/>
                <w:i w:val="0"/>
                <w:color w:val="111827"/>
                <w:sz w:val="19"/>
              </w:rPr>
              <w:t>Target less credited completes</w:t>
            </w:r>
          </w:p>
        </w:tc>
        <w:tc>
          <w:tcPr>
            <w:tcW w:type="dxa" w:w="3960"/>
            <w:vAlign w:val="center"/>
            <w:tcMar>
              <w:top w:w="110" w:type="dxa"/>
              <w:start w:w="120" w:type="dxa"/>
              <w:bottom w:w="110" w:type="dxa"/>
              <w:end w:w="120" w:type="dxa"/>
            </w:tcMar>
          </w:tcPr>
          <w:p>
            <w:pPr>
              <w:spacing w:after="0"/>
            </w:pPr>
            <w:r>
              <w:rPr>
                <w:rFonts w:ascii="Calibri" w:hAnsi="Calibri"/>
                <w:b w:val="0"/>
                <w:i w:val="0"/>
                <w:color w:val="111827"/>
                <w:sz w:val="19"/>
              </w:rPr>
              <w:t>Confirm with Supervisor before closing fieldwork</w:t>
            </w:r>
          </w:p>
        </w:tc>
      </w:tr>
    </w:tbl>
    <w:p>
      <w:pPr>
        <w:spacing w:after="0"/>
      </w:pPr>
    </w:p>
    <w:p>
      <w:r>
        <w:br w:type="page"/>
      </w:r>
    </w:p>
    <w:p>
      <w:pPr>
        <w:pStyle w:val="Heading1"/>
      </w:pPr>
      <w:r>
        <w:t>3. Start and Conduct an Interview</w:t>
      </w:r>
    </w:p>
    <w:p>
      <w:pPr>
        <w:pStyle w:val="ListNumber"/>
      </w:pPr>
      <w:r>
        <w:t>Tap Start Next Interview.</w:t>
      </w:r>
    </w:p>
    <w:p>
      <w:pPr>
        <w:pStyle w:val="ListNumber"/>
      </w:pPr>
      <w:r>
        <w:t>Confirm the correct deployment and survey version at the top of Field Interview Runtime.</w:t>
      </w:r>
    </w:p>
    <w:p>
      <w:pPr>
        <w:pStyle w:val="ListNumber"/>
      </w:pPr>
      <w:r>
        <w:t>Introduce yourself and the study according to the approved script.</w:t>
      </w:r>
    </w:p>
    <w:p>
      <w:pPr>
        <w:pStyle w:val="ListNumber"/>
      </w:pPr>
      <w:r>
        <w:t>Obtain required consent before entering respondent information.</w:t>
      </w:r>
    </w:p>
    <w:p>
      <w:pPr>
        <w:pStyle w:val="ListNumber"/>
      </w:pPr>
      <w:r>
        <w:t>Read every question exactly as approved and select or enter the respondent's answer.</w:t>
      </w:r>
    </w:p>
    <w:p>
      <w:pPr>
        <w:pStyle w:val="ListNumber"/>
      </w:pPr>
      <w:r>
        <w:t>Scroll carefully and complete all required questions.</w:t>
      </w:r>
    </w:p>
    <w:p>
      <w:pPr>
        <w:pStyle w:val="ListNumber"/>
      </w:pPr>
      <w:r>
        <w:t>Review answers before saving. Correct mistakes while the interview is still open.</w:t>
      </w:r>
    </w:p>
    <w:p>
      <w:pPr>
        <w:pStyle w:val="Heading2"/>
      </w:pPr>
      <w:r>
        <w:t>Interview conduct</w:t>
      </w:r>
    </w:p>
    <w:p>
      <w:pPr>
        <w:pStyle w:val="ListBullet"/>
      </w:pPr>
      <w:r>
        <w:t>Remain neutral. Do not suggest, interpret, or choose an answer for the respondent.</w:t>
      </w:r>
    </w:p>
    <w:p>
      <w:pPr>
        <w:pStyle w:val="ListBullet"/>
      </w:pPr>
      <w:r>
        <w:t>Do not invent an answer to complete a required field.</w:t>
      </w:r>
    </w:p>
    <w:p>
      <w:pPr>
        <w:pStyle w:val="ListBullet"/>
      </w:pPr>
      <w:r>
        <w:t>Do not photograph, record, or collect identifiers unless the approved instrument requires it.</w:t>
      </w:r>
    </w:p>
    <w:p>
      <w:pPr>
        <w:pStyle w:val="ListBullet"/>
      </w:pPr>
      <w:r>
        <w:t>Keep the screen away from bystanders and other respondents.</w:t>
      </w:r>
    </w:p>
    <w:p>
      <w:pPr>
        <w:pStyle w:val="ListBullet"/>
      </w:pPr>
      <w:r>
        <w:t>Pause safely if interrupted; do not hand the unlocked device to another person.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FF8E1"/>
          </w:tcPr>
          <w:p>
            <w:pPr>
              <w:spacing w:after="0"/>
            </w:pPr>
            <w:r>
              <w:rPr>
                <w:rFonts w:ascii="Calibri" w:hAnsi="Calibri"/>
                <w:b/>
                <w:i w:val="0"/>
                <w:color w:val="7A5A00"/>
                <w:sz w:val="22"/>
              </w:rPr>
              <w:t xml:space="preserve">One respondent, one record: </w:t>
            </w:r>
            <w:r>
              <w:rPr>
                <w:rFonts w:ascii="Calibri" w:hAnsi="Calibri"/>
                <w:b w:val="0"/>
                <w:i w:val="0"/>
                <w:color w:val="7A5A00"/>
                <w:sz w:val="22"/>
              </w:rPr>
              <w:t>Do not create duplicate interviews to correct an error after saving. Report the case to the Supervisor and follow the approved correction procedure.</w:t>
            </w:r>
          </w:p>
        </w:tc>
      </w:tr>
    </w:tbl>
    <w:p>
      <w:pPr>
        <w:spacing w:after="0"/>
      </w:pPr>
    </w:p>
    <w:p>
      <w:r>
        <w:br w:type="page"/>
      </w:r>
    </w:p>
    <w:p>
      <w:pPr>
        <w:pStyle w:val="Heading1"/>
      </w:pPr>
      <w:r>
        <w:t>4. Select the Official Geographic Location</w:t>
      </w:r>
    </w:p>
    <w:p>
      <w:pPr>
        <w:jc w:val="left"/>
      </w:pPr>
      <w:r>
        <w:rPr>
          <w:rFonts w:ascii="Calibri" w:hAnsi="Calibri"/>
          <w:b w:val="0"/>
          <w:i w:val="0"/>
          <w:color w:val="111827"/>
          <w:sz w:val="22"/>
        </w:rPr>
        <w:t>A Geographic Selector uses the Enterprise Geographic Master. It stores an official hierarchy and code, not free text.</w:t>
      </w:r>
    </w:p>
    <w:p>
      <w:pPr>
        <w:pStyle w:val="ListNumber"/>
      </w:pPr>
      <w:r>
        <w:t>Under Select geographic area, choose Philippines - Country (PH).</w:t>
      </w:r>
    </w:p>
    <w:p>
      <w:pPr>
        <w:pStyle w:val="ListNumber"/>
      </w:pPr>
      <w:r>
        <w:t>Under Philippines, choose the respondent's Region.</w:t>
      </w:r>
    </w:p>
    <w:p>
      <w:pPr>
        <w:pStyle w:val="ListNumber"/>
      </w:pPr>
      <w:r>
        <w:t>Under the Region, choose the Province or the applicable independent or highly urbanized city structure shown by EIOS.</w:t>
      </w:r>
    </w:p>
    <w:p>
      <w:pPr>
        <w:pStyle w:val="ListNumber"/>
      </w:pPr>
      <w:r>
        <w:t>Choose the City or Municipality.</w:t>
      </w:r>
    </w:p>
    <w:p>
      <w:pPr>
        <w:pStyle w:val="ListNumber"/>
      </w:pPr>
      <w:r>
        <w:t>Choose the Barangay when required.</w:t>
      </w:r>
    </w:p>
    <w:p>
      <w:pPr>
        <w:pStyle w:val="ListNumber"/>
      </w:pPr>
      <w:r>
        <w:t>Read the complete blue path and confirm it with the respondent or approved source.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4F7FB"/>
          </w:tcPr>
          <w:p>
            <w:pPr>
              <w:spacing w:after="0"/>
            </w:pPr>
            <w:r>
              <w:rPr>
                <w:rFonts w:ascii="Calibri" w:hAnsi="Calibri"/>
                <w:b/>
                <w:i w:val="0"/>
                <w:color w:val="0B2545"/>
                <w:sz w:val="22"/>
              </w:rPr>
              <w:t xml:space="preserve">Example path: </w:t>
            </w:r>
            <w:r>
              <w:rPr>
                <w:rFonts w:ascii="Calibri" w:hAnsi="Calibri"/>
                <w:b w:val="0"/>
                <w:i w:val="0"/>
                <w:color w:val="0B2545"/>
                <w:sz w:val="22"/>
              </w:rPr>
              <w:t>Philippines / Region IV-A (CALABARZON) / Rizal / Rodriguez / San Jose</w:t>
            </w:r>
          </w:p>
        </w:tc>
      </w:tr>
    </w:tbl>
    <w:p>
      <w:pPr>
        <w:spacing w:after="0"/>
      </w:pPr>
    </w:p>
    <w:p>
      <w:pPr>
        <w:pStyle w:val="Heading2"/>
      </w:pPr>
      <w:r>
        <w:t>Correct a geographic selection</w:t>
      </w:r>
    </w:p>
    <w:p>
      <w:pPr>
        <w:pStyle w:val="ListBullet"/>
      </w:pPr>
      <w:r>
        <w:t>Use the earlier dropdown that contains the wrong level and choose the correct unit; lower levels will be replaced.</w:t>
      </w:r>
    </w:p>
    <w:p>
      <w:pPr>
        <w:pStyle w:val="ListBullet"/>
      </w:pPr>
      <w:r>
        <w:t>Use Reset only when you need to start the geographic selection again.</w:t>
      </w:r>
    </w:p>
    <w:p>
      <w:pPr>
        <w:pStyle w:val="ListBullet"/>
      </w:pPr>
      <w:r>
        <w:t>Never choose a nearby barangay merely because the intended barangay is difficult to find. Ask the Supervisor if the official hierarchy appears incomplete.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FF8E1"/>
          </w:tcPr>
          <w:p>
            <w:pPr>
              <w:spacing w:after="0"/>
            </w:pPr>
            <w:r>
              <w:rPr>
                <w:rFonts w:ascii="Calibri" w:hAnsi="Calibri"/>
                <w:b/>
                <w:i w:val="0"/>
                <w:color w:val="7A5A00"/>
                <w:sz w:val="22"/>
              </w:rPr>
              <w:t xml:space="preserve">Data-quality rule: </w:t>
            </w:r>
            <w:r>
              <w:rPr>
                <w:rFonts w:ascii="Calibri" w:hAnsi="Calibri"/>
                <w:b w:val="0"/>
                <w:i w:val="0"/>
                <w:color w:val="7A5A00"/>
                <w:sz w:val="22"/>
              </w:rPr>
              <w:t>Check the readable path, not only the last barangay name. Barangay names can repeat in different cities or provinces.</w:t>
            </w:r>
          </w:p>
        </w:tc>
      </w:tr>
    </w:tbl>
    <w:p>
      <w:pPr>
        <w:spacing w:after="0"/>
      </w:pPr>
    </w:p>
    <w:p>
      <w:r>
        <w:br w:type="page"/>
      </w:r>
    </w:p>
    <w:p>
      <w:pPr>
        <w:pStyle w:val="Heading1"/>
      </w:pPr>
      <w:r>
        <w:t>5. GPS and Location Permission</w:t>
      </w:r>
    </w:p>
    <w:p>
      <w:pPr>
        <w:jc w:val="left"/>
      </w:pPr>
      <w:r>
        <w:rPr>
          <w:rFonts w:ascii="Calibri" w:hAnsi="Calibri"/>
          <w:b w:val="0"/>
          <w:i w:val="0"/>
          <w:color w:val="111827"/>
          <w:sz w:val="22"/>
        </w:rPr>
        <w:t>EIOS attempts to capture the device location when the interview is saved. GPS supports field integrity but does not replace the respondent's official Geographic Selector answer.</w:t>
      </w:r>
    </w:p>
    <w:p>
      <w:pPr>
        <w:pStyle w:val="ListNumber"/>
      </w:pPr>
      <w:r>
        <w:t>Turn on the device Location/GPS service before fieldwork.</w:t>
      </w:r>
    </w:p>
    <w:p>
      <w:pPr>
        <w:pStyle w:val="ListNumber"/>
      </w:pPr>
      <w:r>
        <w:t>When the browser asks for location permission, choose Allow according to organizational policy.</w:t>
      </w:r>
    </w:p>
    <w:p>
      <w:pPr>
        <w:pStyle w:val="ListNumber"/>
      </w:pPr>
      <w:r>
        <w:t>Keep the device in an open position and wait briefly for location capture when saving.</w:t>
      </w:r>
    </w:p>
    <w:p>
      <w:pPr>
        <w:pStyle w:val="ListNumber"/>
      </w:pPr>
      <w:r>
        <w:t>If location times out or no deployment geofence is configured, continue only as allowed by field policy. EIOS preserves the interview and creates a Supervisor review item.</w:t>
      </w:r>
    </w:p>
    <w:p>
      <w:pPr>
        <w:pStyle w:val="Heading2"/>
      </w:pPr>
      <w:r>
        <w:t>Improve GPS quality</w:t>
      </w:r>
    </w:p>
    <w:p>
      <w:pPr>
        <w:pStyle w:val="ListBullet"/>
      </w:pPr>
      <w:r>
        <w:t>Move away from heavy indoor obstruction when safe and appropriate.</w:t>
      </w:r>
    </w:p>
    <w:p>
      <w:pPr>
        <w:pStyle w:val="ListBullet"/>
      </w:pPr>
      <w:r>
        <w:t>Keep Wi-Fi scanning and mobile data available if allowed; devices can use them to improve location accuracy.</w:t>
      </w:r>
    </w:p>
    <w:p>
      <w:pPr>
        <w:pStyle w:val="ListBullet"/>
      </w:pPr>
      <w:r>
        <w:t>Do not use mock-location, GPS-spoofing, VPN location, or developer-location tools.</w:t>
      </w:r>
    </w:p>
    <w:p>
      <w:pPr>
        <w:pStyle w:val="ListBullet"/>
      </w:pPr>
      <w:r>
        <w:t>Do not alter coordinates or claim a location you did not visit.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110" w:type="dxa"/>
              <w:start w:w="120" w:type="dxa"/>
              <w:bottom w:w="110" w:type="dxa"/>
              <w:end w:w="120" w:type="dxa"/>
            </w:tcMar>
          </w:tcPr>
          <w:p>
            <w:pPr>
              <w:spacing w:after="0"/>
            </w:pPr>
            <w:r>
              <w:rPr>
                <w:rFonts w:ascii="Calibri" w:hAnsi="Calibri"/>
                <w:b/>
                <w:i w:val="0"/>
                <w:color w:val="0B2545"/>
                <w:sz w:val="19"/>
              </w:rPr>
              <w:t>Message or flag</w:t>
            </w:r>
          </w:p>
        </w:tc>
        <w:tc>
          <w:tcPr>
            <w:tcW w:type="dxa" w:w="6760"/>
            <w:shd w:fill="E8EEF5"/>
            <w:vAlign w:val="center"/>
            <w:tcMar>
              <w:top w:w="110" w:type="dxa"/>
              <w:start w:w="120" w:type="dxa"/>
              <w:bottom w:w="110" w:type="dxa"/>
              <w:end w:w="120" w:type="dxa"/>
            </w:tcMar>
          </w:tcPr>
          <w:p>
            <w:pPr>
              <w:spacing w:after="0"/>
            </w:pPr>
            <w:r>
              <w:rPr>
                <w:rFonts w:ascii="Calibri" w:hAnsi="Calibri"/>
                <w:b/>
                <w:i w:val="0"/>
                <w:color w:val="0B2545"/>
                <w:sz w:val="19"/>
              </w:rPr>
              <w:t>What to do</w:t>
            </w:r>
          </w:p>
        </w:tc>
      </w:tr>
      <w:tr>
        <w:tc>
          <w:tcPr>
            <w:tcW w:type="dxa" w:w="2600"/>
            <w:vAlign w:val="center"/>
            <w:tcMar>
              <w:top w:w="110" w:type="dxa"/>
              <w:start w:w="120" w:type="dxa"/>
              <w:bottom w:w="110" w:type="dxa"/>
              <w:end w:w="120" w:type="dxa"/>
            </w:tcMar>
          </w:tcPr>
          <w:p>
            <w:pPr>
              <w:spacing w:after="0"/>
            </w:pPr>
            <w:r>
              <w:rPr>
                <w:rFonts w:ascii="Calibri" w:hAnsi="Calibri"/>
                <w:b w:val="0"/>
                <w:i w:val="0"/>
                <w:color w:val="111827"/>
                <w:sz w:val="19"/>
              </w:rPr>
              <w:t>TIMEOUT</w:t>
            </w:r>
          </w:p>
        </w:tc>
        <w:tc>
          <w:tcPr>
            <w:tcW w:type="dxa" w:w="6760"/>
            <w:vAlign w:val="center"/>
            <w:tcMar>
              <w:top w:w="110" w:type="dxa"/>
              <w:start w:w="120" w:type="dxa"/>
              <w:bottom w:w="110" w:type="dxa"/>
              <w:end w:w="120" w:type="dxa"/>
            </w:tcMar>
          </w:tcPr>
          <w:p>
            <w:pPr>
              <w:spacing w:after="0"/>
            </w:pPr>
            <w:r>
              <w:rPr>
                <w:rFonts w:ascii="Calibri" w:hAnsi="Calibri"/>
                <w:b w:val="0"/>
                <w:i w:val="0"/>
                <w:color w:val="111827"/>
                <w:sz w:val="19"/>
              </w:rPr>
              <w:t>Do not repeatedly save. Record the circumstances and inform the Supervisor if requested.</w:t>
            </w:r>
          </w:p>
        </w:tc>
      </w:tr>
      <w:tr>
        <w:tc>
          <w:tcPr>
            <w:tcW w:type="dxa" w:w="2600"/>
            <w:vAlign w:val="center"/>
            <w:tcMar>
              <w:top w:w="110" w:type="dxa"/>
              <w:start w:w="120" w:type="dxa"/>
              <w:bottom w:w="110" w:type="dxa"/>
              <w:end w:w="120" w:type="dxa"/>
            </w:tcMar>
          </w:tcPr>
          <w:p>
            <w:pPr>
              <w:spacing w:after="0"/>
            </w:pPr>
            <w:r>
              <w:rPr>
                <w:rFonts w:ascii="Calibri" w:hAnsi="Calibri"/>
                <w:b w:val="0"/>
                <w:i w:val="0"/>
                <w:color w:val="111827"/>
                <w:sz w:val="19"/>
              </w:rPr>
              <w:t>NO_GEOFENCE_CONFIGURED</w:t>
            </w:r>
          </w:p>
        </w:tc>
        <w:tc>
          <w:tcPr>
            <w:tcW w:type="dxa" w:w="6760"/>
            <w:vAlign w:val="center"/>
            <w:tcMar>
              <w:top w:w="110" w:type="dxa"/>
              <w:start w:w="120" w:type="dxa"/>
              <w:bottom w:w="110" w:type="dxa"/>
              <w:end w:w="120" w:type="dxa"/>
            </w:tcMar>
          </w:tcPr>
          <w:p>
            <w:pPr>
              <w:spacing w:after="0"/>
            </w:pPr>
            <w:r>
              <w:rPr>
                <w:rFonts w:ascii="Calibri" w:hAnsi="Calibri"/>
                <w:b w:val="0"/>
                <w:i w:val="0"/>
                <w:color w:val="111827"/>
                <w:sz w:val="19"/>
              </w:rPr>
              <w:t>Continue only within the approved assignment; the Supervisor will document the exception.</w:t>
            </w:r>
          </w:p>
        </w:tc>
      </w:tr>
      <w:tr>
        <w:tc>
          <w:tcPr>
            <w:tcW w:type="dxa" w:w="2600"/>
            <w:vAlign w:val="center"/>
            <w:tcMar>
              <w:top w:w="110" w:type="dxa"/>
              <w:start w:w="120" w:type="dxa"/>
              <w:bottom w:w="110" w:type="dxa"/>
              <w:end w:w="120" w:type="dxa"/>
            </w:tcMar>
          </w:tcPr>
          <w:p>
            <w:pPr>
              <w:spacing w:after="0"/>
            </w:pPr>
            <w:r>
              <w:rPr>
                <w:rFonts w:ascii="Calibri" w:hAnsi="Calibri"/>
                <w:b w:val="0"/>
                <w:i w:val="0"/>
                <w:color w:val="111827"/>
                <w:sz w:val="19"/>
              </w:rPr>
              <w:t>Out of Area</w:t>
            </w:r>
          </w:p>
        </w:tc>
        <w:tc>
          <w:tcPr>
            <w:tcW w:type="dxa" w:w="6760"/>
            <w:vAlign w:val="center"/>
            <w:tcMar>
              <w:top w:w="110" w:type="dxa"/>
              <w:start w:w="120" w:type="dxa"/>
              <w:bottom w:w="110" w:type="dxa"/>
              <w:end w:w="120" w:type="dxa"/>
            </w:tcMar>
          </w:tcPr>
          <w:p>
            <w:pPr>
              <w:spacing w:after="0"/>
            </w:pPr>
            <w:r>
              <w:rPr>
                <w:rFonts w:ascii="Calibri" w:hAnsi="Calibri"/>
                <w:b w:val="0"/>
                <w:i w:val="0"/>
                <w:color w:val="111827"/>
                <w:sz w:val="19"/>
              </w:rPr>
              <w:t>Stop and confirm your assignment/location with the Supervisor before continuing.</w:t>
            </w:r>
          </w:p>
        </w:tc>
      </w:tr>
      <w:tr>
        <w:tc>
          <w:tcPr>
            <w:tcW w:type="dxa" w:w="2600"/>
            <w:vAlign w:val="center"/>
            <w:tcMar>
              <w:top w:w="110" w:type="dxa"/>
              <w:start w:w="120" w:type="dxa"/>
              <w:bottom w:w="110" w:type="dxa"/>
              <w:end w:w="120" w:type="dxa"/>
            </w:tcMar>
          </w:tcPr>
          <w:p>
            <w:pPr>
              <w:spacing w:after="0"/>
            </w:pPr>
            <w:r>
              <w:rPr>
                <w:rFonts w:ascii="Calibri" w:hAnsi="Calibri"/>
                <w:b w:val="0"/>
                <w:i w:val="0"/>
                <w:color w:val="111827"/>
                <w:sz w:val="19"/>
              </w:rPr>
              <w:t>Permission denied</w:t>
            </w:r>
          </w:p>
        </w:tc>
        <w:tc>
          <w:tcPr>
            <w:tcW w:type="dxa" w:w="6760"/>
            <w:vAlign w:val="center"/>
            <w:tcMar>
              <w:top w:w="110" w:type="dxa"/>
              <w:start w:w="120" w:type="dxa"/>
              <w:bottom w:w="110" w:type="dxa"/>
              <w:end w:w="120" w:type="dxa"/>
            </w:tcMar>
          </w:tcPr>
          <w:p>
            <w:pPr>
              <w:spacing w:after="0"/>
            </w:pPr>
            <w:r>
              <w:rPr>
                <w:rFonts w:ascii="Calibri" w:hAnsi="Calibri"/>
                <w:b w:val="0"/>
                <w:i w:val="0"/>
                <w:color w:val="111827"/>
                <w:sz w:val="19"/>
              </w:rPr>
              <w:t>Open browser/site settings, allow Location for the official EIOS site, then retry only if the interview has not already been saved.</w:t>
            </w:r>
          </w:p>
        </w:tc>
      </w:tr>
    </w:tbl>
    <w:p>
      <w:pPr>
        <w:spacing w:after="0"/>
      </w:pPr>
    </w:p>
    <w:p>
      <w:r>
        <w:br w:type="page"/>
      </w:r>
    </w:p>
    <w:p>
      <w:pPr>
        <w:pStyle w:val="Heading1"/>
      </w:pPr>
      <w:r>
        <w:t>6. Save an Interview Safely</w:t>
      </w:r>
    </w:p>
    <w:p>
      <w:pPr>
        <w:pStyle w:val="ListNumber"/>
      </w:pPr>
      <w:r>
        <w:t>Review every visible response and the final geographic path.</w:t>
      </w:r>
    </w:p>
    <w:p>
      <w:pPr>
        <w:pStyle w:val="ListNumber"/>
      </w:pPr>
      <w:r>
        <w:t>Tap Save Interview once.</w:t>
      </w:r>
    </w:p>
    <w:p>
      <w:pPr>
        <w:pStyle w:val="ListNumber"/>
      </w:pPr>
      <w:r>
        <w:t>Wait until EIOS displays Offline response created successfully.</w:t>
      </w:r>
    </w:p>
    <w:p>
      <w:pPr>
        <w:pStyle w:val="ListNumber"/>
      </w:pPr>
      <w:r>
        <w:t>Do not tap Save again after the success message.</w:t>
      </w:r>
    </w:p>
    <w:p>
      <w:pPr>
        <w:pStyle w:val="ListNumber"/>
      </w:pPr>
      <w:r>
        <w:t>Return to the Field Enumerator Workspace.</w:t>
      </w:r>
    </w:p>
    <w:p>
      <w:pPr>
        <w:pStyle w:val="ListNumber"/>
      </w:pPr>
      <w:r>
        <w:t>Check Pending Sync and the synchronization status.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0FDF4"/>
          </w:tcPr>
          <w:p>
            <w:pPr>
              <w:spacing w:after="0"/>
            </w:pPr>
            <w:r>
              <w:rPr>
                <w:rFonts w:ascii="Calibri" w:hAnsi="Calibri"/>
                <w:b/>
                <w:i w:val="0"/>
                <w:color w:val="166534"/>
                <w:sz w:val="22"/>
              </w:rPr>
              <w:t xml:space="preserve">Meaning of Offline response: </w:t>
            </w:r>
            <w:r>
              <w:rPr>
                <w:rFonts w:ascii="Calibri" w:hAnsi="Calibri"/>
                <w:b w:val="0"/>
                <w:i w:val="0"/>
                <w:color w:val="166534"/>
                <w:sz w:val="22"/>
              </w:rPr>
              <w:t>The interview is safely stored on the device and queued for server synchronization. This message is expected even when mobile data is available.</w:t>
            </w:r>
          </w:p>
        </w:tc>
      </w:tr>
    </w:tbl>
    <w:p>
      <w:pPr>
        <w:spacing w:after="0"/>
      </w:pPr>
    </w:p>
    <w:p>
      <w:pPr>
        <w:pStyle w:val="Heading2"/>
      </w:pPr>
      <w:r>
        <w:t>Never do these after saving</w:t>
      </w:r>
    </w:p>
    <w:p>
      <w:pPr>
        <w:pStyle w:val="ListBullet"/>
      </w:pPr>
      <w:r>
        <w:t>Do not clear browser history, cookies, site data, or storage while Pending Sync is above zero.</w:t>
      </w:r>
    </w:p>
    <w:p>
      <w:pPr>
        <w:pStyle w:val="ListBullet"/>
      </w:pPr>
      <w:r>
        <w:t>Do not uninstall the browser, reset the phone, or switch to a different browser profile.</w:t>
      </w:r>
    </w:p>
    <w:p>
      <w:pPr>
        <w:pStyle w:val="ListBullet"/>
      </w:pPr>
      <w:r>
        <w:t>Do not sign in on several devices to continue the same pending interview queue.</w:t>
      </w:r>
    </w:p>
    <w:p>
      <w:pPr>
        <w:pStyle w:val="ListBullet"/>
      </w:pPr>
      <w:r>
        <w:t>Do not repeatedly press Save to force synchronization.</w:t>
      </w:r>
    </w:p>
    <w:p>
      <w:r>
        <w:br w:type="page"/>
      </w:r>
    </w:p>
    <w:p>
      <w:pPr>
        <w:pStyle w:val="Heading1"/>
      </w:pPr>
      <w:r>
        <w:t>7. Work Offline and Synchronize</w:t>
      </w:r>
    </w:p>
    <w:p>
      <w:pPr>
        <w:pStyle w:val="Heading2"/>
      </w:pPr>
      <w:r>
        <w:t>When the network is unavailable</w:t>
      </w:r>
    </w:p>
    <w:p>
      <w:pPr>
        <w:pStyle w:val="ListBullet"/>
      </w:pPr>
      <w:r>
        <w:t>Continue only if the assignment and instrument were already loaded and field policy permits offline collection.</w:t>
      </w:r>
    </w:p>
    <w:p>
      <w:pPr>
        <w:pStyle w:val="ListBullet"/>
      </w:pPr>
      <w:r>
        <w:t>Save each interview and wait for the offline success message.</w:t>
      </w:r>
    </w:p>
    <w:p>
      <w:pPr>
        <w:pStyle w:val="ListBullet"/>
      </w:pPr>
      <w:r>
        <w:t>Keep the same browser and device. Pending records remain in local protected storage.</w:t>
      </w:r>
    </w:p>
    <w:p>
      <w:pPr>
        <w:pStyle w:val="ListBullet"/>
      </w:pPr>
      <w:r>
        <w:t>Record the approximate number of pending interviews in the field log.</w:t>
      </w:r>
    </w:p>
    <w:p>
      <w:pPr>
        <w:pStyle w:val="Heading2"/>
      </w:pPr>
      <w:r>
        <w:t>When connectivity returns</w:t>
      </w:r>
    </w:p>
    <w:p>
      <w:pPr>
        <w:pStyle w:val="ListNumber"/>
      </w:pPr>
      <w:r>
        <w:t>Reconnect mobile data or the authorized Wi-Fi network.</w:t>
      </w:r>
    </w:p>
    <w:p>
      <w:pPr>
        <w:pStyle w:val="ListNumber"/>
      </w:pPr>
      <w:r>
        <w:t>Open EIOS and return to the Field Enumerator Workspace.</w:t>
      </w:r>
    </w:p>
    <w:p>
      <w:pPr>
        <w:pStyle w:val="ListNumber"/>
      </w:pPr>
      <w:r>
        <w:t>Keep the page open while automatic synchronization runs.</w:t>
      </w:r>
    </w:p>
    <w:p>
      <w:pPr>
        <w:pStyle w:val="ListNumber"/>
      </w:pPr>
      <w:r>
        <w:t>Wait for Pending Sync to reach zero and for the synchronized-successfully message.</w:t>
      </w:r>
    </w:p>
    <w:p>
      <w:pPr>
        <w:pStyle w:val="ListNumber"/>
      </w:pPr>
      <w:r>
        <w:t>If records remain pending, keep the device unchanged and notify the Supervisor with the exact error message.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EF2F2"/>
          </w:tcPr>
          <w:p>
            <w:pPr>
              <w:spacing w:after="0"/>
            </w:pPr>
            <w:r>
              <w:rPr>
                <w:rFonts w:ascii="Calibri" w:hAnsi="Calibri"/>
                <w:b/>
                <w:i w:val="0"/>
                <w:color w:val="9B1C1C"/>
                <w:sz w:val="22"/>
              </w:rPr>
              <w:t xml:space="preserve">End-of-day rule: </w:t>
            </w:r>
            <w:r>
              <w:rPr>
                <w:rFonts w:ascii="Calibri" w:hAnsi="Calibri"/>
                <w:b w:val="0"/>
                <w:i w:val="0"/>
                <w:color w:val="9B1C1C"/>
                <w:sz w:val="22"/>
              </w:rPr>
              <w:t>Do not end the field day with Pending Sync above zero without informing the Supervisor and securing the device for the next synchronization attempt.</w:t>
            </w:r>
          </w:p>
        </w:tc>
      </w:tr>
    </w:tbl>
    <w:p>
      <w:pPr>
        <w:spacing w:after="0"/>
      </w:pPr>
    </w:p>
    <w:p>
      <w:r>
        <w:br w:type="page"/>
      </w:r>
    </w:p>
    <w:p>
      <w:pPr>
        <w:pStyle w:val="Heading1"/>
      </w:pPr>
      <w:r>
        <w:t>8. Smartphone Troubleshooting</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vAlign w:val="center"/>
            <w:tcMar>
              <w:top w:w="110" w:type="dxa"/>
              <w:start w:w="120" w:type="dxa"/>
              <w:bottom w:w="110" w:type="dxa"/>
              <w:end w:w="120" w:type="dxa"/>
            </w:tcMar>
          </w:tcPr>
          <w:p>
            <w:pPr>
              <w:spacing w:after="0"/>
            </w:pPr>
            <w:r>
              <w:rPr>
                <w:rFonts w:ascii="Calibri" w:hAnsi="Calibri"/>
                <w:b/>
                <w:i w:val="0"/>
                <w:color w:val="0B2545"/>
                <w:sz w:val="19"/>
              </w:rPr>
              <w:t>Problem</w:t>
            </w:r>
          </w:p>
        </w:tc>
        <w:tc>
          <w:tcPr>
            <w:tcW w:type="dxa" w:w="6260"/>
            <w:shd w:fill="E8EEF5"/>
            <w:vAlign w:val="center"/>
            <w:tcMar>
              <w:top w:w="110" w:type="dxa"/>
              <w:start w:w="120" w:type="dxa"/>
              <w:bottom w:w="110" w:type="dxa"/>
              <w:end w:w="120" w:type="dxa"/>
            </w:tcMar>
          </w:tcPr>
          <w:p>
            <w:pPr>
              <w:spacing w:after="0"/>
            </w:pPr>
            <w:r>
              <w:rPr>
                <w:rFonts w:ascii="Calibri" w:hAnsi="Calibri"/>
                <w:b/>
                <w:i w:val="0"/>
                <w:color w:val="0B2545"/>
                <w:sz w:val="19"/>
              </w:rPr>
              <w:t>Safe first response</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Site cannot be reached</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Check mobile data/Wi-Fi and the official HTTPS address. Do not use a search-result login page.</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Login rejected</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Check username and password carefully. Do not repeatedly guess; contact the Administrator if locked out.</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Forced password page</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Use the temporary password as Current password, then create a new unique password.</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Page appears blank or incomplete</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Wait, refresh once if no interview is being edited, and confirm the frontend/API status with the Supervisor.</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Dropdown does not show expected geography</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Reset the hierarchy and reselect from country; if still missing, capture a screenshot and stop guessing.</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Location permission denied</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Allow Location for the official site in browser settings, subject to field policy.</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Pending Sync remains above zero</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Keep browser data, reconnect, keep workspace open, and report the exact error.</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Access Denied</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Tap Return to workspace or Sign out; do not attempt unauthorized modules.</w:t>
            </w:r>
          </w:p>
        </w:tc>
      </w:tr>
      <w:tr>
        <w:tc>
          <w:tcPr>
            <w:tcW w:type="dxa" w:w="3100"/>
            <w:vAlign w:val="center"/>
            <w:tcMar>
              <w:top w:w="110" w:type="dxa"/>
              <w:start w:w="120" w:type="dxa"/>
              <w:bottom w:w="110" w:type="dxa"/>
              <w:end w:w="120" w:type="dxa"/>
            </w:tcMar>
          </w:tcPr>
          <w:p>
            <w:pPr>
              <w:spacing w:after="0"/>
            </w:pPr>
            <w:r>
              <w:rPr>
                <w:rFonts w:ascii="Calibri" w:hAnsi="Calibri"/>
                <w:b w:val="0"/>
                <w:i w:val="0"/>
                <w:color w:val="111827"/>
                <w:sz w:val="19"/>
              </w:rPr>
              <w:t>Device battery is critically low</w:t>
            </w:r>
          </w:p>
        </w:tc>
        <w:tc>
          <w:tcPr>
            <w:tcW w:type="dxa" w:w="6260"/>
            <w:vAlign w:val="center"/>
            <w:tcMar>
              <w:top w:w="110" w:type="dxa"/>
              <w:start w:w="120" w:type="dxa"/>
              <w:bottom w:w="110" w:type="dxa"/>
              <w:end w:w="120" w:type="dxa"/>
            </w:tcMar>
          </w:tcPr>
          <w:p>
            <w:pPr>
              <w:spacing w:after="0"/>
            </w:pPr>
            <w:r>
              <w:rPr>
                <w:rFonts w:ascii="Calibri" w:hAnsi="Calibri"/>
                <w:b w:val="0"/>
                <w:i w:val="0"/>
                <w:color w:val="111827"/>
                <w:sz w:val="19"/>
              </w:rPr>
              <w:t>Stop new interviews, preserve pending records, use the approved power bank, and notify the Supervisor.</w:t>
            </w:r>
          </w:p>
        </w:tc>
      </w:tr>
    </w:tbl>
    <w:p>
      <w:pPr>
        <w:spacing w:after="0"/>
      </w:pPr>
    </w:p>
    <w:p>
      <w:pPr>
        <w:pStyle w:val="Heading2"/>
      </w:pPr>
      <w:r>
        <w:t>Information to send the Supervisor</w:t>
      </w:r>
    </w:p>
    <w:p>
      <w:pPr>
        <w:pStyle w:val="ListBullet"/>
      </w:pPr>
      <w:r>
        <w:t>Your username, assignment name, and current area - never your password</w:t>
      </w:r>
    </w:p>
    <w:p>
      <w:pPr>
        <w:pStyle w:val="ListBullet"/>
      </w:pPr>
      <w:r>
        <w:t>Date and time of the problem</w:t>
      </w:r>
    </w:p>
    <w:p>
      <w:pPr>
        <w:pStyle w:val="ListBullet"/>
      </w:pPr>
      <w:r>
        <w:t>Device model, browser, and network condition</w:t>
      </w:r>
    </w:p>
    <w:p>
      <w:pPr>
        <w:pStyle w:val="ListBullet"/>
      </w:pPr>
      <w:r>
        <w:t>Exact message shown on screen</w:t>
      </w:r>
    </w:p>
    <w:p>
      <w:pPr>
        <w:pStyle w:val="ListBullet"/>
      </w:pPr>
      <w:r>
        <w:t>Screenshot that avoids unnecessary respondent data</w:t>
      </w:r>
    </w:p>
    <w:p>
      <w:pPr>
        <w:pStyle w:val="ListBullet"/>
      </w:pPr>
      <w:r>
        <w:t>Pending Sync count and whether Offline response created successfully appeared</w:t>
      </w:r>
    </w:p>
    <w:p>
      <w:r>
        <w:br w:type="page"/>
      </w:r>
    </w:p>
    <w:p>
      <w:pPr>
        <w:pStyle w:val="Heading1"/>
      </w:pPr>
      <w:r>
        <w:t>9. Privacy, Security, and Device Care</w:t>
      </w:r>
    </w:p>
    <w:p>
      <w:pPr>
        <w:pStyle w:val="ListBullet"/>
      </w:pPr>
      <w:r>
        <w:t>Use a screen lock and keep the device with you.</w:t>
      </w:r>
    </w:p>
    <w:p>
      <w:pPr>
        <w:pStyle w:val="ListBullet"/>
      </w:pPr>
      <w:r>
        <w:t>Do not allow respondents, family members, or unauthorized staff to browse saved records.</w:t>
      </w:r>
    </w:p>
    <w:p>
      <w:pPr>
        <w:pStyle w:val="ListBullet"/>
      </w:pPr>
      <w:r>
        <w:t>Do not copy responses into personal notes, messaging apps, email, cloud drives, or photo galleries.</w:t>
      </w:r>
    </w:p>
    <w:p>
      <w:pPr>
        <w:pStyle w:val="ListBullet"/>
      </w:pPr>
      <w:r>
        <w:t>Do not take screenshots containing personal data unless an approved support procedure requires it.</w:t>
      </w:r>
    </w:p>
    <w:p>
      <w:pPr>
        <w:pStyle w:val="ListBullet"/>
      </w:pPr>
      <w:r>
        <w:t>Do not connect to unknown public Wi-Fi for synchronization.</w:t>
      </w:r>
    </w:p>
    <w:p>
      <w:pPr>
        <w:pStyle w:val="ListBullet"/>
      </w:pPr>
      <w:r>
        <w:t>Report a lost, stolen, damaged, or compromised device immediately.</w:t>
      </w:r>
    </w:p>
    <w:p>
      <w:pPr>
        <w:pStyle w:val="ListBullet"/>
      </w:pPr>
      <w:r>
        <w:t>Follow organizational rules for consent, confidentiality, retention, and incident reporting.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EF2F2"/>
          </w:tcPr>
          <w:p>
            <w:pPr>
              <w:spacing w:after="0"/>
            </w:pPr>
            <w:r>
              <w:rPr>
                <w:rFonts w:ascii="Calibri" w:hAnsi="Calibri"/>
                <w:b/>
                <w:i w:val="0"/>
                <w:color w:val="9B1C1C"/>
                <w:sz w:val="22"/>
              </w:rPr>
              <w:t xml:space="preserve">Lost device: </w:t>
            </w:r>
            <w:r>
              <w:rPr>
                <w:rFonts w:ascii="Calibri" w:hAnsi="Calibri"/>
                <w:b w:val="0"/>
                <w:i w:val="0"/>
                <w:color w:val="9B1C1C"/>
                <w:sz w:val="22"/>
              </w:rPr>
              <w:t>Notify the Supervisor and Administrator immediately. Provide the device number, last known location, pending-sync estimate, and time last seen. Do not delay while searching alone.</w:t>
            </w:r>
          </w:p>
        </w:tc>
      </w:tr>
    </w:tbl>
    <w:p>
      <w:pPr>
        <w:spacing w:after="0"/>
      </w:pPr>
    </w:p>
    <w:p>
      <w:pPr>
        <w:pStyle w:val="Heading2"/>
      </w:pPr>
      <w:r>
        <w:t>Daily device care</w:t>
      </w:r>
    </w:p>
    <w:p>
      <w:pPr>
        <w:pStyle w:val="ListBullet"/>
      </w:pPr>
      <w:r>
        <w:t>Charge the device and power bank each night.</w:t>
      </w:r>
    </w:p>
    <w:p>
      <w:pPr>
        <w:pStyle w:val="ListBullet"/>
      </w:pPr>
      <w:r>
        <w:t>Keep the device dry, shaded from extreme heat, and protected from impact.</w:t>
      </w:r>
    </w:p>
    <w:p>
      <w:pPr>
        <w:pStyle w:val="ListBullet"/>
      </w:pPr>
      <w:r>
        <w:t>Install operating-system or browser updates only during an approved maintenance window, not while interviews are pending.</w:t>
      </w:r>
    </w:p>
    <w:p>
      <w:pPr>
        <w:pStyle w:val="ListBullet"/>
      </w:pPr>
      <w:r>
        <w:t>Use only organization-approved accessories, SIMs, apps, and security settings.</w:t>
      </w:r>
    </w:p>
    <w:p>
      <w:r>
        <w:br w:type="page"/>
      </w:r>
    </w:p>
    <w:p>
      <w:pPr>
        <w:pStyle w:val="Heading1"/>
      </w:pPr>
      <w:r>
        <w:t>10. End-of-Day Enumerator Checklist</w:t>
      </w:r>
    </w:p>
    <w:p>
      <w:pPr>
        <w:pStyle w:val="ListBullet"/>
      </w:pPr>
      <w:r>
        <w:t>All completed interviews showed the offline-response success message.</w:t>
      </w:r>
    </w:p>
    <w:p>
      <w:pPr>
        <w:pStyle w:val="ListBullet"/>
      </w:pPr>
      <w:r>
        <w:t>Pending Sync is zero, or the Supervisor has been informed and the device is secured.</w:t>
      </w:r>
    </w:p>
    <w:p>
      <w:pPr>
        <w:pStyle w:val="ListBullet"/>
      </w:pPr>
      <w:r>
        <w:t>Completed and Remaining figures are plausible for the day's work.</w:t>
      </w:r>
    </w:p>
    <w:p>
      <w:pPr>
        <w:pStyle w:val="ListBullet"/>
      </w:pPr>
      <w:r>
        <w:t>Any GPS timeout, no-geofence, out-of-area, or permission issue has been reported.</w:t>
      </w:r>
    </w:p>
    <w:p>
      <w:pPr>
        <w:pStyle w:val="ListBullet"/>
      </w:pPr>
      <w:r>
        <w:t>Any duplicate-risk, respondent withdrawal, interrupted interview, or correction need has been logged.</w:t>
      </w:r>
    </w:p>
    <w:p>
      <w:pPr>
        <w:pStyle w:val="ListBullet"/>
      </w:pPr>
      <w:r>
        <w:t>The device remains locked and in the authorized custodian's possession.</w:t>
      </w:r>
    </w:p>
    <w:p>
      <w:pPr>
        <w:pStyle w:val="ListBullet"/>
      </w:pPr>
      <w:r>
        <w:t>The battery and power bank are charging for the next field session.</w:t>
      </w:r>
    </w:p>
    <w:p>
      <w:pPr>
        <w:pStyle w:val="ListBullet"/>
      </w:pPr>
      <w:r>
        <w:t>The Enumerator signs out only after pending records are safely handled.</w:t>
      </w:r>
    </w:p>
    <w:p>
      <w:pPr>
        <w:pStyle w:val="Heading2"/>
      </w:pPr>
      <w:r>
        <w:t>Field integrity pledge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0FDF4"/>
          </w:tcPr>
          <w:p>
            <w:pPr>
              <w:spacing w:after="0"/>
            </w:pPr>
            <w:r>
              <w:rPr>
                <w:rFonts w:ascii="Calibri" w:hAnsi="Calibri"/>
                <w:b/>
                <w:i w:val="0"/>
                <w:color w:val="166534"/>
                <w:sz w:val="22"/>
              </w:rPr>
              <w:t xml:space="preserve">Enumerator standard: </w:t>
            </w:r>
            <w:r>
              <w:rPr>
                <w:rFonts w:ascii="Calibri" w:hAnsi="Calibri"/>
                <w:b w:val="0"/>
                <w:i w:val="0"/>
                <w:color w:val="166534"/>
                <w:sz w:val="22"/>
              </w:rPr>
              <w:t>Collect only authorized interviews, record answers faithfully, protect respondent information, preserve offline records, synchronize promptly, and report exceptions honestly.</w:t>
            </w:r>
          </w:p>
        </w:tc>
      </w:tr>
    </w:tbl>
    <w:p>
      <w:pPr>
        <w:spacing w:after="0"/>
      </w:pPr>
    </w:p>
    <w:p>
      <w:pPr>
        <w:pStyle w:val="Heading2"/>
      </w:pPr>
      <w:r>
        <w:t>Quick emergency sequence</w:t>
      </w:r>
    </w:p>
    <w:p>
      <w:pPr>
        <w:pStyle w:val="ListNumber"/>
      </w:pPr>
      <w:r>
        <w:t>Protect the respondent and yourself first.</w:t>
      </w:r>
    </w:p>
    <w:p>
      <w:pPr>
        <w:pStyle w:val="ListNumber"/>
      </w:pPr>
      <w:r>
        <w:t>Lock and secure the device.</w:t>
      </w:r>
    </w:p>
    <w:p>
      <w:pPr>
        <w:pStyle w:val="ListNumber"/>
      </w:pPr>
      <w:r>
        <w:t>Preserve browser data and pending records.</w:t>
      </w:r>
    </w:p>
    <w:p>
      <w:pPr>
        <w:pStyle w:val="ListNumber"/>
      </w:pPr>
      <w:r>
        <w:t>Contact the Supervisor through the approved channel.</w:t>
      </w:r>
    </w:p>
    <w:p>
      <w:pPr>
        <w:pStyle w:val="ListNumber"/>
      </w:pPr>
      <w:r>
        <w:t>Record the time, location, assignment, and facts without exposing unnecessary personal data.</w:t>
      </w:r>
    </w:p>
    <w:p>
      <w:r>
        <w:br w:type="page"/>
      </w:r>
    </w:p>
    <w:p>
      <w:pPr>
        <w:pStyle w:val="Heading1"/>
      </w:pPr>
      <w:r>
        <w:t>11. Survey and Census Coverage Levels</w:t>
      </w:r>
    </w:p>
    <w:p>
      <w:r>
        <w:t>EIOS assignments may support a survey or census at any of the following governed coverage levels. The coverage level defines the project's authorized geographic universe; the Enumerator's displayed assignment may be a smaller operational area within that universe.</w:t>
      </w:r>
    </w:p>
    <w:p>
      <w:pPr>
        <w:pStyle w:val="ListBullet"/>
      </w:pPr>
      <w:r>
        <w:t>National - coverage across the Philippines, normally divided into controlled regional or local assignments.</w:t>
      </w:r>
    </w:p>
    <w:p>
      <w:pPr>
        <w:pStyle w:val="ListBullet"/>
      </w:pPr>
      <w:r>
        <w:t>Provincial - coverage within one approved province and its included cities, municipalities, and barangays.</w:t>
      </w:r>
    </w:p>
    <w:p>
      <w:pPr>
        <w:pStyle w:val="ListBullet"/>
      </w:pPr>
      <w:r>
        <w:t>Legislative district - coverage within an approved congressional district or local legislative district.</w:t>
      </w:r>
    </w:p>
    <w:p>
      <w:pPr>
        <w:pStyle w:val="ListBullet"/>
      </w:pPr>
      <w:r>
        <w:t>City or municipality - coverage within one approved city or municipality and its barangays.</w:t>
      </w:r>
    </w:p>
    <w:p>
      <w:pPr>
        <w:pStyle w:val="ListBullet"/>
      </w:pPr>
      <w:r>
        <w:t>Barangay - coverage within one approved barangay and any configured local operational areas.</w:t>
      </w:r>
    </w:p>
    <w:p>
      <w:r>
        <w:rPr>
          <w:b/>
          <w:color w:val="9B1C1C"/>
        </w:rPr>
        <w:t xml:space="preserve">Enumerator rule: </w:t>
      </w:r>
      <w:r>
        <w:rPr>
          <w:color w:val="9B1C1C"/>
        </w:rPr>
        <w:t>Before every interview, confirm that Today's Mission and Area match the assignment given by the Supervisor. Do not assume that a national or provincial project authorizes collection anywhere. Stop and report any coverage mismatch before recording a respondent.</w:t>
      </w:r>
    </w:p>
    <w:p>
      <w:r>
        <w:t>The Geographic Selector records the respondent's official location through the Enterprise Geographic Master. It does not rely on fixed question numbers and must be used consistently within the project's configured scope.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4748B"/>
        <w:sz w:val="17"/>
      </w:rPr>
      <w:t>EIOS MOBILE ENUMERATOR FIELD MANUAL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EIOS Mobile Enumerator Field Manual</dc:title>
  <dc:subject>Smartphone and handheld guide for EIOS Enumerators</dc:subject>
  <dc:creator>Global Zenith Research and Consulting, Inc.</dc:creator>
  <cp:keywords>EIOS, Enumerator, smartphone, handheld, offline, synchronization, GPS, field interview</cp:keywords>
  <dc:description>generated by python-docx</dc:description>
  <cp:lastModifiedBy/>
  <cp:revision>1</cp:revision>
  <dcterms:created xsi:type="dcterms:W3CDTF">2013-12-23T23:15:00Z</dcterms:created>
  <dcterms:modified xsi:type="dcterms:W3CDTF">2013-12-23T23:15:00Z</dcterms:modified>
  <cp:category/>
</cp:coreProperties>
</file>