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AntettuloPortada"/>
      </w:pPr>
      <w:r>
        <w:t xml:space="preserve">28 oct 2026 · Tinkle</w:t>
      </w:r>
    </w:p>
    <w:p>
      <w:pPr>
        <w:pStyle w:val="TituloPortada"/>
      </w:pPr>
      <w:sdt>
        <w:sdtPr>
          <w:alias w:val="Título del documento"/>
          <w:tag w:val="titulo"/>
          <w:id w:val="1"/>
          <w:dataBinding w:prefixMappings="xmlns:ns0='http://purl.org/dc/elements/1.1/' xmlns:ns1='http://schemas.openxmlformats.org/package/2006/metadata/core-properties'" w:xpath="/ns1:coreProperties[1]/ns0:title[1]" w:storeItemID="{6C3C8BC8-F283-45AE-878A-BAB7291924A1}"/>
          <w:text/>
        </w:sdtPr>
        <w:sdtContent>
          <w:r>
            <w:t xml:space="preserve">Auditoría general del proyecto</w:t>
          </w:r>
        </w:sdtContent>
      </w:sdt>
    </w:p>
    <w:p>
      <w:pPr>
        <w:pStyle w:val="Subtitle"/>
      </w:pPr>
      <w:r>
        <w:t xml:space="preserve">Reporting financiero en Microsoft Fabric. Documento interno</w:t>
      </w:r>
    </w:p>
    <w:p>
      <w:pPr>
        <w:spacing w:after="0"/>
      </w:pPr>
      <w:r>
        <w:br w:type="page"/>
      </w:r>
    </w:p>
    <w:p>
      <w:pPr>
        <w:pStyle w:val="Antettulo"/>
      </w:pPr>
      <w:r>
        <w:t xml:space="preserve">Ficha del documento</w:t>
      </w:r>
    </w:p>
    <w:p>
      <w:pPr>
        <w:pStyle w:val="ListBullet"/>
      </w:pPr>
      <w:r>
        <w:t xml:space="preserve">Fecha: 28/10/2026.</w:t>
      </w:r>
    </w:p>
    <w:p>
      <w:pPr>
        <w:pStyle w:val="ListBullet"/>
      </w:pPr>
      <w:r>
        <w:t xml:space="preserve">Alcance: estado real de la herramienta en Fabric, requerimientos y pendientes de las reuniones de abril y mayo, correo de valoración de Tinkle y reunión de seguimiento con Tinkle.</w:t>
      </w:r>
    </w:p>
    <w:p>
      <w:pPr>
        <w:pStyle w:val="ListBullet"/>
      </w:pPr>
      <w:r>
        <w:t xml:space="preserve">Fuentes:</w:t>
      </w:r>
    </w:p>
    <w:p>
      <w:pPr>
        <w:pStyle w:val="ListBullet"/>
        <w:numPr>
          <w:ilvl w:val="1"/>
          <w:numId w:val="2"/>
        </w:numPr>
      </w:pPr>
      <w:r>
        <w:t xml:space="preserve">Registro de pendientes de las reuniones: reporting-financiero/docs/reuniones/README.md (ids P-nnn).</w:t>
      </w:r>
    </w:p>
    <w:p>
      <w:pPr>
        <w:pStyle w:val="ListBullet"/>
        <w:numPr>
          <w:ilvl w:val="1"/>
          <w:numId w:val="2"/>
        </w:numPr>
      </w:pPr>
      <w:r>
        <w:t xml:space="preserve">Auditoría técnica del workspace: sección 13 de reporting-financiero/docs/contexto/Documentacion_Tinkle_Financiero.md (ids S, O, M, D y N).</w:t>
      </w:r>
    </w:p>
    <w:p>
      <w:pPr>
        <w:pStyle w:val="ListBullet"/>
        <w:numPr>
          <w:ilvl w:val="1"/>
          <w:numId w:val="2"/>
        </w:numPr>
      </w:pPr>
      <w:r>
        <w:t xml:space="preserve">Definiciones exportadas de Fabric: reporting-financiero/fabric/.</w:t>
      </w:r>
    </w:p>
    <w:p>
      <w:pPr>
        <w:pStyle w:val="ListBullet"/>
        <w:numPr>
          <w:ilvl w:val="1"/>
          <w:numId w:val="2"/>
        </w:numPr>
      </w:pPr>
      <w:r>
        <w:t xml:space="preserve">Consultas de solo lectura al lakehouse y a la API de Fabric del 27 y 28/10/2026.</w:t>
      </w:r>
    </w:p>
    <w:p>
      <w:pPr>
        <w:pStyle w:val="ListBullet"/>
        <w:numPr>
          <w:ilvl w:val="1"/>
          <w:numId w:val="2"/>
        </w:numPr>
      </w:pPr>
      <w:r>
        <w:t xml:space="preserve">Correo de Tinkle con su valoración de las presentaciones de Docenteo.</w:t>
      </w:r>
    </w:p>
    <w:p>
      <w:pPr>
        <w:pStyle w:val="ListBullet"/>
        <w:numPr>
          <w:ilvl w:val="1"/>
          <w:numId w:val="2"/>
        </w:numPr>
      </w:pPr>
      <w:r>
        <w:t xml:space="preserve">Notas de Docenteo de la reunión de seguimiento con Tinkle.</w:t>
      </w:r>
    </w:p>
    <w:p>
      <w:pPr>
        <w:pStyle w:val="ListBullet"/>
      </w:pPr>
      <w:r>
        <w:t xml:space="preserve">Lo medido en Fabric es un hecho a fecha de hoy. Lo que viene de las actas es testimonio verbal (ver las advertencias de cada acta). Las valoraciones de Docenteo se señalan como tales.</w:t>
      </w:r>
    </w:p>
    <w:p>
      <w:pPr>
        <w:pStyle w:val="ListBullet"/>
      </w:pPr>
      <w:r>
        <w:t xml:space="preserve">Documento interno: incluye valoraciones sobre el proyecto que no deben enviarse tal cual a Tinkle.</w:t>
      </w:r>
    </w:p>
    <w:p>
      <w:pPr>
        <w:pStyle w:val="Heading1"/>
      </w:pPr>
      <w:r>
        <w:t xml:space="preserve">Temas pendientes en 29 conceptos</w:t>
      </w:r>
    </w:p>
    <w:p>
      <w:pPr/>
      <w:r>
        <w:t xml:space="preserve">Los 226 puntos del registro de reuniones y los riesgos de la auditoría técnica se agrupan en 29 conceptos. Cada punto del registro está en un solo concepto (columna "Pendientes"); el detalle de cada concepto sigue en las secciones 4 a 6.</w:t>
      </w:r>
    </w:p>
    <w:p>
      <w:pPr>
        <w:pStyle w:val="Heading2"/>
      </w:pPr>
      <w:r>
        <w:t xml:space="preserve">Cómo leer la tabla</w:t>
      </w:r>
    </w:p>
    <w:p>
      <w:pPr>
        <w:pStyle w:val="ListBullet"/>
      </w:pPr>
      <w:r>
        <w:rPr>
          <w:rStyle w:val="nfasis"/>
        </w:rPr>
        <w:t xml:space="preserve">Prioridad:</w:t>
      </w:r>
      <w:r>
        <w:t xml:space="preserve"> 1 es imprescindible para finales de enero; 2 puede ir después sin bloquear lo demás.</w:t>
      </w:r>
    </w:p>
    <w:p>
      <w:pPr>
        <w:pStyle w:val="ListBullet"/>
      </w:pPr>
      <w:r>
        <w:rPr>
          <w:rStyle w:val="nfasis"/>
        </w:rPr>
        <w:t xml:space="preserve">Estimación:</w:t>
      </w:r>
      <w:r>
        <w:t xml:space="preserve"> jornadas de trabajo (8 horas) de un consultor de Docenteo con experiencia en Fabric y Power BI. Es orientativa y está pendiente de calibrar con el equipo antes de comprometer fechas. El desglose por tareas está en la sección 9. Hay dos columnas:</w:t>
      </w:r>
    </w:p>
    <w:p>
      <w:pPr>
        <w:pStyle w:val="ListBullet"/>
        <w:numPr>
          <w:ilvl w:val="1"/>
          <w:numId w:val="2"/>
        </w:numPr>
      </w:pPr>
      <w:r>
        <w:rPr>
          <w:rStyle w:val="nfasis"/>
        </w:rPr>
        <w:t xml:space="preserve">Tradicional:</w:t>
      </w:r>
      <w:r>
        <w:t xml:space="preserve"> el trabajo hecho a mano, sin asistentes de IA.</w:t>
      </w:r>
    </w:p>
    <w:p>
      <w:pPr>
        <w:pStyle w:val="ListBullet"/>
        <w:numPr>
          <w:ilvl w:val="1"/>
          <w:numId w:val="2"/>
        </w:numPr>
      </w:pPr>
      <w:r>
        <w:rPr>
          <w:rStyle w:val="nfasis"/>
        </w:rPr>
        <w:t xml:space="preserve">Con IA:</w:t>
      </w:r>
      <w:r>
        <w:t xml:space="preserve"> la forma de trabajar del departamento (Claude Code con el repositorio, los scripts de Fabric y el vault). Cada tarea se multiplica por un factor según su tipo:</w:t>
      </w:r>
    </w:p>
    <w:p>
      <w:pPr>
        <w:pStyle w:val="ListBullet"/>
        <w:numPr>
          <w:ilvl w:val="2"/>
          <w:numId w:val="2"/>
        </w:numPr>
      </w:pPr>
      <w:r>
        <w:t xml:space="preserve">0,4 en construcción técnica (DAX, Power Query M, SQL, notebooks, informes en PBIR, seguridad) y en análisis y documentación;</w:t>
      </w:r>
    </w:p>
    <w:p>
      <w:pPr>
        <w:pStyle w:val="ListBullet"/>
        <w:numPr>
          <w:ilvl w:val="2"/>
          <w:numId w:val="2"/>
        </w:numPr>
      </w:pPr>
      <w:r>
        <w:t xml:space="preserve">0,8 en validación con datos y cierres reales;</w:t>
      </w:r>
    </w:p>
    <w:p>
      <w:pPr>
        <w:pStyle w:val="ListBullet"/>
        <w:numPr>
          <w:ilvl w:val="2"/>
          <w:numId w:val="2"/>
        </w:numPr>
      </w:pPr>
      <w:r>
        <w:t xml:space="preserve">1 en sesiones, decisiones, formación y seguimiento con Tinkle.</w:t>
      </w:r>
    </w:p>
    <w:p>
      <w:pPr>
        <w:pStyle w:val="ListBullet"/>
        <w:numPr>
          <w:ilvl w:val="1"/>
          <w:numId w:val="2"/>
        </w:numPr>
      </w:pPr>
      <w:r>
        <w:t xml:space="preserve">La IA no reduce el tiempo de Tinkle ni el calendario de cierres y decisiones.</w:t>
      </w:r>
    </w:p>
    <w:p>
      <w:pPr>
        <w:pStyle w:val="ListBullet"/>
        <w:numPr>
          <w:ilvl w:val="1"/>
          <w:numId w:val="2"/>
        </w:numPr>
      </w:pPr>
      <w:r>
        <w:rPr>
          <w:rStyle w:val="nfasis"/>
        </w:rPr>
        <w:t xml:space="preserve">Uso interno:</w:t>
      </w:r>
      <w:r>
        <w:t xml:space="preserve"> la estimación con IA no se presenta todavía a Tinkle.</w:t>
      </w:r>
    </w:p>
    <w:p>
      <w:pPr>
        <w:pStyle w:val="ListBullet"/>
      </w:pPr>
      <w:r>
        <w:rPr>
          <w:rStyle w:val="nfasis"/>
        </w:rPr>
        <w:t xml:space="preserve">Tinkle:</w:t>
      </w:r>
      <w:r>
        <w:t xml:space="preserve"> jornadas de cada persona de Tinkle. J es Josep Zoppetti, F Fátima Sánchez de Pazos, D David Marin, Dir cada directora e IT el administrador de Entra ID.</w:t>
      </w:r>
    </w:p>
    <w:p>
      <w:pPr>
        <w:pStyle w:val="Heading3"/>
      </w:pPr>
      <w:r>
        <w:t xml:space="preserve">Carga y datos</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1</w:t>
            </w:r>
          </w:p>
        </w:tc>
        <w:tc>
          <w:tcPr>
            <w:tcW w:w="3900" w:type="dxa"/>
          </w:tcPr>
          <w:p>
            <w:pPr/>
            <w:r>
              <w:rPr>
                <w:rStyle w:val="nfasis"/>
              </w:rPr>
              <w:t xml:space="preserve">Flujo de carga de ficheros.</w:t>
            </w:r>
            <w:r>
              <w:t xml:space="preserve"> Lista cerrada de ficheros por cierre, en bruto, con responsable y carpeta de equipo</w:t>
            </w:r>
          </w:p>
        </w:tc>
        <w:tc>
          <w:tcPr>
            <w:tcW w:w="800" w:type="dxa"/>
          </w:tcPr>
          <w:p>
            <w:pPr>
              <w:jc w:val="right"/>
            </w:pPr>
            <w:r>
              <w:t xml:space="preserve">1</w:t>
            </w:r>
          </w:p>
        </w:tc>
        <w:tc>
          <w:tcPr>
            <w:tcW w:w="1350" w:type="dxa"/>
          </w:tcPr>
          <w:p>
            <w:pPr>
              <w:jc w:val="right"/>
            </w:pPr>
            <w:r>
              <w:t xml:space="preserve">3</w:t>
            </w:r>
          </w:p>
        </w:tc>
        <w:tc>
          <w:tcPr>
            <w:tcW w:w="1000" w:type="dxa"/>
          </w:tcPr>
          <w:p>
            <w:pPr>
              <w:jc w:val="right"/>
            </w:pPr>
            <w:r>
              <w:t xml:space="preserve">1,5</w:t>
            </w:r>
          </w:p>
        </w:tc>
        <w:tc>
          <w:tcPr>
            <w:tcW w:w="1912" w:type="dxa"/>
          </w:tcPr>
          <w:p>
            <w:pPr/>
            <w:r>
              <w:t xml:space="preserve">J 1</w:t>
            </w:r>
          </w:p>
        </w:tc>
      </w:tr>
      <w:tr>
        <w:trPr>
          <w:cantSplit/>
        </w:trPr>
        <w:tc>
          <w:tcPr>
            <w:tcW w:w="450" w:type="dxa"/>
          </w:tcPr>
          <w:p>
            <w:pPr>
              <w:jc w:val="right"/>
            </w:pPr>
            <w:r>
              <w:t xml:space="preserve">2</w:t>
            </w:r>
          </w:p>
        </w:tc>
        <w:tc>
          <w:tcPr>
            <w:tcW w:w="3900" w:type="dxa"/>
          </w:tcPr>
          <w:p>
            <w:pPr/>
            <w:r>
              <w:rPr>
                <w:rStyle w:val="nfasis"/>
              </w:rPr>
              <w:t xml:space="preserve">Puesta al día de los datos.</w:t>
            </w:r>
            <w:r>
              <w:t xml:space="preserve"> Cargar los cierres de abril a octubre, el FT8 de 2026, HAPA y Portugal del periodo</w:t>
            </w:r>
          </w:p>
        </w:tc>
        <w:tc>
          <w:tcPr>
            <w:tcW w:w="800" w:type="dxa"/>
          </w:tcPr>
          <w:p>
            <w:pPr>
              <w:jc w:val="right"/>
            </w:pPr>
            <w:r>
              <w:t xml:space="preserve">1</w:t>
            </w:r>
          </w:p>
        </w:tc>
        <w:tc>
          <w:tcPr>
            <w:tcW w:w="1350" w:type="dxa"/>
          </w:tcPr>
          <w:p>
            <w:pPr>
              <w:jc w:val="right"/>
            </w:pPr>
            <w:r>
              <w:t xml:space="preserve">4</w:t>
            </w:r>
          </w:p>
        </w:tc>
        <w:tc>
          <w:tcPr>
            <w:tcW w:w="1000" w:type="dxa"/>
          </w:tcPr>
          <w:p>
            <w:pPr>
              <w:jc w:val="right"/>
            </w:pPr>
            <w:r>
              <w:t xml:space="preserve">3,2</w:t>
            </w:r>
          </w:p>
        </w:tc>
        <w:tc>
          <w:tcPr>
            <w:tcW w:w="1912" w:type="dxa"/>
          </w:tcPr>
          <w:p>
            <w:pPr/>
            <w:r>
              <w:t xml:space="preserve">J 2</w:t>
            </w:r>
          </w:p>
        </w:tc>
      </w:tr>
      <w:tr>
        <w:trPr>
          <w:cantSplit/>
        </w:trPr>
        <w:tc>
          <w:tcPr>
            <w:tcW w:w="450" w:type="dxa"/>
          </w:tcPr>
          <w:p>
            <w:pPr>
              <w:jc w:val="right"/>
            </w:pPr>
            <w:r>
              <w:t xml:space="preserve">3</w:t>
            </w:r>
          </w:p>
        </w:tc>
        <w:tc>
          <w:tcPr>
            <w:tcW w:w="3900" w:type="dxa"/>
          </w:tcPr>
          <w:p>
            <w:pPr/>
            <w:r>
              <w:rPr>
                <w:rStyle w:val="nfasis"/>
              </w:rPr>
              <w:t xml:space="preserve">Automatización de las extracciones.</w:t>
            </w:r>
            <w:r>
              <w:t xml:space="preserve"> Exportación programada de Databox u Oracle y lectura de MMS; depende de IT del Grupo</w:t>
            </w:r>
          </w:p>
        </w:tc>
        <w:tc>
          <w:tcPr>
            <w:tcW w:w="800" w:type="dxa"/>
          </w:tcPr>
          <w:p>
            <w:pPr>
              <w:jc w:val="right"/>
            </w:pPr>
            <w:r>
              <w:t xml:space="preserve">2</w:t>
            </w:r>
          </w:p>
        </w:tc>
        <w:tc>
          <w:tcPr>
            <w:tcW w:w="1350" w:type="dxa"/>
          </w:tcPr>
          <w:p>
            <w:pPr>
              <w:jc w:val="right"/>
            </w:pPr>
            <w:r>
              <w:t xml:space="preserve">5</w:t>
            </w:r>
          </w:p>
        </w:tc>
        <w:tc>
          <w:tcPr>
            <w:tcW w:w="1000" w:type="dxa"/>
          </w:tcPr>
          <w:p>
            <w:pPr>
              <w:jc w:val="right"/>
            </w:pPr>
            <w:r>
              <w:t xml:space="preserve">2,6</w:t>
            </w:r>
          </w:p>
        </w:tc>
        <w:tc>
          <w:tcPr>
            <w:tcW w:w="1912" w:type="dxa"/>
          </w:tcPr>
          <w:p>
            <w:pPr/>
            <w:r>
              <w:t xml:space="preserve">J 1</w:t>
            </w:r>
          </w:p>
        </w:tc>
      </w:tr>
    </w:tbl>
    <w:p>
      <w:pPr>
        <w:pStyle w:val="Nota"/>
      </w:pPr>
      <w:r>
        <w:t xml:space="preserve">Pendientes del registro: 1: P-016, P-017, P-067 a P-069, P-213 a P-217; S6; 2: Estado medido (sección 3); 3: P-013, P-202.</w:t>
      </w:r>
    </w:p>
    <w:p>
      <w:pPr>
        <w:pStyle w:val="Heading3"/>
      </w:pPr>
      <w:r>
        <w:t xml:space="preserve">Cierre y checklist</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4</w:t>
            </w:r>
          </w:p>
        </w:tc>
        <w:tc>
          <w:tcPr>
            <w:tcW w:w="3900" w:type="dxa"/>
          </w:tcPr>
          <w:p>
            <w:pPr/>
            <w:r>
              <w:rPr>
                <w:rStyle w:val="nfasis"/>
              </w:rPr>
              <w:t xml:space="preserve">Consolidados y vistas del cierre.</w:t>
            </w:r>
            <w:r>
              <w:t xml:space="preserve"> Tres consolidados, vista mensual y acumulada, edición de presupuesto de referencia, foto fija del cierre</w:t>
            </w:r>
          </w:p>
        </w:tc>
        <w:tc>
          <w:tcPr>
            <w:tcW w:w="800" w:type="dxa"/>
          </w:tcPr>
          <w:p>
            <w:pPr>
              <w:jc w:val="right"/>
            </w:pPr>
            <w:r>
              <w:t xml:space="preserve">1</w:t>
            </w:r>
          </w:p>
        </w:tc>
        <w:tc>
          <w:tcPr>
            <w:tcW w:w="1350" w:type="dxa"/>
          </w:tcPr>
          <w:p>
            <w:pPr>
              <w:jc w:val="right"/>
            </w:pPr>
            <w:r>
              <w:t xml:space="preserve">4</w:t>
            </w:r>
          </w:p>
        </w:tc>
        <w:tc>
          <w:tcPr>
            <w:tcW w:w="1000" w:type="dxa"/>
          </w:tcPr>
          <w:p>
            <w:pPr>
              <w:jc w:val="right"/>
            </w:pPr>
            <w:r>
              <w:t xml:space="preserve">1,6</w:t>
            </w:r>
          </w:p>
        </w:tc>
        <w:tc>
          <w:tcPr>
            <w:tcW w:w="1912" w:type="dxa"/>
          </w:tcPr>
          <w:p>
            <w:pPr/>
            <w:r>
              <w:t xml:space="preserve">F 1</w:t>
            </w:r>
          </w:p>
        </w:tc>
      </w:tr>
      <w:tr>
        <w:trPr>
          <w:cantSplit/>
        </w:trPr>
        <w:tc>
          <w:tcPr>
            <w:tcW w:w="450" w:type="dxa"/>
          </w:tcPr>
          <w:p>
            <w:pPr>
              <w:jc w:val="right"/>
            </w:pPr>
            <w:r>
              <w:t xml:space="preserve">5</w:t>
            </w:r>
          </w:p>
        </w:tc>
        <w:tc>
          <w:tcPr>
            <w:tcW w:w="3900" w:type="dxa"/>
          </w:tcPr>
          <w:p>
            <w:pPr/>
            <w:r>
              <w:rPr>
                <w:rStyle w:val="nfasis"/>
              </w:rPr>
              <w:t xml:space="preserve">Desgloses del checklist.</w:t>
            </w:r>
            <w:r>
              <w:t xml:space="preserve"> Páginas de provisiones, personal, impuestos, periodificaciones, fianzas, gastos y alquileres</w:t>
            </w:r>
          </w:p>
        </w:tc>
        <w:tc>
          <w:tcPr>
            <w:tcW w:w="800" w:type="dxa"/>
          </w:tcPr>
          <w:p>
            <w:pPr>
              <w:jc w:val="right"/>
            </w:pPr>
            <w:r>
              <w:t xml:space="preserve">1</w:t>
            </w:r>
          </w:p>
        </w:tc>
        <w:tc>
          <w:tcPr>
            <w:tcW w:w="1350" w:type="dxa"/>
          </w:tcPr>
          <w:p>
            <w:pPr>
              <w:jc w:val="right"/>
            </w:pPr>
            <w:r>
              <w:t xml:space="preserve">6</w:t>
            </w:r>
          </w:p>
        </w:tc>
        <w:tc>
          <w:tcPr>
            <w:tcW w:w="1000" w:type="dxa"/>
          </w:tcPr>
          <w:p>
            <w:pPr>
              <w:jc w:val="right"/>
            </w:pPr>
            <w:r>
              <w:t xml:space="preserve">2,4</w:t>
            </w:r>
          </w:p>
        </w:tc>
        <w:tc>
          <w:tcPr>
            <w:tcW w:w="1912" w:type="dxa"/>
          </w:tcPr>
          <w:p>
            <w:pPr/>
            <w:r>
              <w:t xml:space="preserve">J 1,5</w:t>
            </w:r>
          </w:p>
        </w:tc>
      </w:tr>
      <w:tr>
        <w:trPr>
          <w:cantSplit/>
        </w:trPr>
        <w:tc>
          <w:tcPr>
            <w:tcW w:w="450" w:type="dxa"/>
          </w:tcPr>
          <w:p>
            <w:pPr>
              <w:jc w:val="right"/>
            </w:pPr>
            <w:r>
              <w:t xml:space="preserve">6</w:t>
            </w:r>
          </w:p>
        </w:tc>
        <w:tc>
          <w:tcPr>
            <w:tcW w:w="3900" w:type="dxa"/>
          </w:tcPr>
          <w:p>
            <w:pPr/>
            <w:r>
              <w:rPr>
                <w:rStyle w:val="nfasis"/>
              </w:rPr>
              <w:t xml:space="preserve">Trazabilidad hasta el asiento.</w:t>
            </w:r>
            <w:r>
              <w:t xml:space="preserve"> Navegar de cualquier saldo a sus movimientos</w:t>
            </w:r>
          </w:p>
        </w:tc>
        <w:tc>
          <w:tcPr>
            <w:tcW w:w="800" w:type="dxa"/>
          </w:tcPr>
          <w:p>
            <w:pPr>
              <w:jc w:val="right"/>
            </w:pPr>
            <w:r>
              <w:t xml:space="preserve">2</w:t>
            </w:r>
          </w:p>
        </w:tc>
        <w:tc>
          <w:tcPr>
            <w:tcW w:w="1350" w:type="dxa"/>
          </w:tcPr>
          <w:p>
            <w:pPr>
              <w:jc w:val="right"/>
            </w:pPr>
            <w:r>
              <w:t xml:space="preserve">3</w:t>
            </w:r>
          </w:p>
        </w:tc>
        <w:tc>
          <w:tcPr>
            <w:tcW w:w="1000" w:type="dxa"/>
          </w:tcPr>
          <w:p>
            <w:pPr>
              <w:jc w:val="right"/>
            </w:pPr>
            <w:r>
              <w:t xml:space="preserve">1,2</w:t>
            </w:r>
          </w:p>
        </w:tc>
        <w:tc>
          <w:tcPr>
            <w:tcW w:w="1912" w:type="dxa"/>
          </w:tcPr>
          <w:p>
            <w:pPr/>
            <w:r>
              <w:t xml:space="preserve">J 0,5</w:t>
            </w:r>
          </w:p>
        </w:tc>
      </w:tr>
      <w:tr>
        <w:trPr>
          <w:cantSplit/>
        </w:trPr>
        <w:tc>
          <w:tcPr>
            <w:tcW w:w="450" w:type="dxa"/>
          </w:tcPr>
          <w:p>
            <w:pPr>
              <w:jc w:val="right"/>
            </w:pPr>
            <w:r>
              <w:t xml:space="preserve">7</w:t>
            </w:r>
          </w:p>
        </w:tc>
        <w:tc>
          <w:tcPr>
            <w:tcW w:w="3900" w:type="dxa"/>
          </w:tcPr>
          <w:p>
            <w:pPr/>
            <w:r>
              <w:rPr>
                <w:rStyle w:val="nfasis"/>
              </w:rPr>
              <w:t xml:space="preserve">Controles de veracidad.</w:t>
            </w:r>
            <w:r>
              <w:t xml:space="preserve"> Cuadres del cierre (sumas y saldos, resultado, intercompany, 4000 y 430 contra agings, redondeos, cuentas sin mapear) y bloqueo de los TXT si fallan</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2</w:t>
            </w:r>
          </w:p>
        </w:tc>
        <w:tc>
          <w:tcPr>
            <w:tcW w:w="1912" w:type="dxa"/>
          </w:tcPr>
          <w:p>
            <w:pPr/>
            <w:r>
              <w:t xml:space="preserve">J 1</w:t>
            </w:r>
          </w:p>
        </w:tc>
      </w:tr>
      <w:tr>
        <w:trPr>
          <w:cantSplit/>
        </w:trPr>
        <w:tc>
          <w:tcPr>
            <w:tcW w:w="450" w:type="dxa"/>
          </w:tcPr>
          <w:p>
            <w:pPr>
              <w:jc w:val="right"/>
            </w:pPr>
            <w:r>
              <w:t xml:space="preserve">8</w:t>
            </w:r>
          </w:p>
        </w:tc>
        <w:tc>
          <w:tcPr>
            <w:tcW w:w="3900" w:type="dxa"/>
          </w:tcPr>
          <w:p>
            <w:pPr/>
            <w:r>
              <w:rPr>
                <w:rStyle w:val="nfasis"/>
              </w:rPr>
              <w:t xml:space="preserve">Mapeos de cuentas.</w:t>
            </w:r>
            <w:r>
              <w:t xml:space="preserve"> Histórico con fecha de vigencia y alta mensual de cuentas nuevas</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2</w:t>
            </w:r>
          </w:p>
        </w:tc>
        <w:tc>
          <w:tcPr>
            <w:tcW w:w="1912" w:type="dxa"/>
          </w:tcPr>
          <w:p>
            <w:pPr/>
            <w:r>
              <w:t xml:space="preserve">J 1</w:t>
            </w:r>
          </w:p>
        </w:tc>
      </w:tr>
      <w:tr>
        <w:trPr>
          <w:cantSplit/>
        </w:trPr>
        <w:tc>
          <w:tcPr>
            <w:tcW w:w="450" w:type="dxa"/>
          </w:tcPr>
          <w:p>
            <w:pPr>
              <w:jc w:val="right"/>
            </w:pPr>
            <w:r>
              <w:t xml:space="preserve">9</w:t>
            </w:r>
          </w:p>
        </w:tc>
        <w:tc>
          <w:tcPr>
            <w:tcW w:w="3900" w:type="dxa"/>
          </w:tcPr>
          <w:p>
            <w:pPr/>
            <w:r>
              <w:rPr>
                <w:rStyle w:val="nfasis"/>
              </w:rPr>
              <w:t xml:space="preserve">Cuentas X.</w:t>
            </w:r>
            <w:r>
              <w:t xml:space="preserve"> Exclusiones y relación con el detalle por cliente en Magnitude</w:t>
            </w:r>
          </w:p>
        </w:tc>
        <w:tc>
          <w:tcPr>
            <w:tcW w:w="800" w:type="dxa"/>
          </w:tcPr>
          <w:p>
            <w:pPr>
              <w:jc w:val="right"/>
            </w:pPr>
            <w:r>
              <w:t xml:space="preserve">2</w:t>
            </w:r>
          </w:p>
        </w:tc>
        <w:tc>
          <w:tcPr>
            <w:tcW w:w="1350" w:type="dxa"/>
          </w:tcPr>
          <w:p>
            <w:pPr>
              <w:jc w:val="right"/>
            </w:pPr>
            <w:r>
              <w:t xml:space="preserve">3</w:t>
            </w:r>
          </w:p>
        </w:tc>
        <w:tc>
          <w:tcPr>
            <w:tcW w:w="1000" w:type="dxa"/>
          </w:tcPr>
          <w:p>
            <w:pPr>
              <w:jc w:val="right"/>
            </w:pPr>
            <w:r>
              <w:t xml:space="preserve">1,2</w:t>
            </w:r>
          </w:p>
        </w:tc>
        <w:tc>
          <w:tcPr>
            <w:tcW w:w="1912" w:type="dxa"/>
          </w:tcPr>
          <w:p>
            <w:pPr/>
            <w:r>
              <w:t xml:space="preserve">J 1, F 0,5</w:t>
            </w:r>
          </w:p>
        </w:tc>
      </w:tr>
      <w:tr>
        <w:trPr>
          <w:cantSplit/>
        </w:trPr>
        <w:tc>
          <w:tcPr>
            <w:tcW w:w="450" w:type="dxa"/>
          </w:tcPr>
          <w:p>
            <w:pPr>
              <w:jc w:val="right"/>
            </w:pPr>
            <w:r>
              <w:t xml:space="preserve">10</w:t>
            </w:r>
          </w:p>
        </w:tc>
        <w:tc>
          <w:tcPr>
            <w:tcW w:w="3900" w:type="dxa"/>
          </w:tcPr>
          <w:p>
            <w:pPr/>
            <w:r>
              <w:rPr>
                <w:rStyle w:val="nfasis"/>
              </w:rPr>
              <w:t xml:space="preserve">HAPA.</w:t>
            </w:r>
            <w:r>
              <w:t xml:space="preserve"> Balancete con mapeo y checklist propio, impuesto de sociedades, TXT de ESP073 y diario cuando exista</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2</w:t>
            </w:r>
          </w:p>
        </w:tc>
        <w:tc>
          <w:tcPr>
            <w:tcW w:w="1912" w:type="dxa"/>
          </w:tcPr>
          <w:p>
            <w:pPr/>
            <w:r>
              <w:t xml:space="preserve">J 2</w:t>
            </w:r>
          </w:p>
        </w:tc>
      </w:tr>
      <w:tr>
        <w:trPr>
          <w:cantSplit/>
        </w:trPr>
        <w:tc>
          <w:tcPr>
            <w:tcW w:w="450" w:type="dxa"/>
          </w:tcPr>
          <w:p>
            <w:pPr>
              <w:jc w:val="right"/>
            </w:pPr>
            <w:r>
              <w:t xml:space="preserve">11</w:t>
            </w:r>
          </w:p>
        </w:tc>
        <w:tc>
          <w:tcPr>
            <w:tcW w:w="3900" w:type="dxa"/>
          </w:tcPr>
          <w:p>
            <w:pPr/>
            <w:r>
              <w:rPr>
                <w:rStyle w:val="nfasis"/>
              </w:rPr>
              <w:t xml:space="preserve">Portugal.</w:t>
            </w:r>
            <w:r>
              <w:t xml:space="preserve"> Detalle con su plan de cuentas, impuesto de sociedades al 21 %, facturación por cliente y TXT de PTE019</w:t>
            </w:r>
          </w:p>
        </w:tc>
        <w:tc>
          <w:tcPr>
            <w:tcW w:w="800" w:type="dxa"/>
          </w:tcPr>
          <w:p>
            <w:pPr>
              <w:jc w:val="right"/>
            </w:pPr>
            <w:r>
              <w:t xml:space="preserve">1</w:t>
            </w:r>
          </w:p>
        </w:tc>
        <w:tc>
          <w:tcPr>
            <w:tcW w:w="1350" w:type="dxa"/>
          </w:tcPr>
          <w:p>
            <w:pPr>
              <w:jc w:val="right"/>
            </w:pPr>
            <w:r>
              <w:t xml:space="preserve">4</w:t>
            </w:r>
          </w:p>
        </w:tc>
        <w:tc>
          <w:tcPr>
            <w:tcW w:w="1000" w:type="dxa"/>
          </w:tcPr>
          <w:p>
            <w:pPr>
              <w:jc w:val="right"/>
            </w:pPr>
            <w:r>
              <w:t xml:space="preserve">1,6</w:t>
            </w:r>
          </w:p>
        </w:tc>
        <w:tc>
          <w:tcPr>
            <w:tcW w:w="1912" w:type="dxa"/>
          </w:tcPr>
          <w:p>
            <w:pPr/>
            <w:r>
              <w:t xml:space="preserve">F 1</w:t>
            </w:r>
          </w:p>
        </w:tc>
      </w:tr>
    </w:tbl>
    <w:p>
      <w:pPr>
        <w:pStyle w:val="Nota"/>
      </w:pPr>
      <w:r>
        <w:t xml:space="preserve">Pendientes del registro: 4: P-001 a P-004, P-014, P-018 a P-020; 5: P-006 a P-011, P-015; 6: P-005; 7: P-012; controles de BSS OF y PL OF; 8: P-050 a P-054; 9: P-040 a P-049; 10: P-021 a P-030; N2; 11: P-031 a P-039.</w:t>
      </w:r>
    </w:p>
    <w:p>
      <w:pPr>
        <w:pStyle w:val="Heading3"/>
      </w:pPr>
      <w:r>
        <w:t xml:space="preserve">Reporting de Grupo</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12</w:t>
            </w:r>
          </w:p>
        </w:tc>
        <w:tc>
          <w:tcPr>
            <w:tcW w:w="3900" w:type="dxa"/>
          </w:tcPr>
          <w:p>
            <w:pPr/>
            <w:r>
              <w:rPr>
                <w:rStyle w:val="nfasis"/>
              </w:rPr>
              <w:t xml:space="preserve">TXT de Balance y Saldos 4_7 completos.</w:t>
            </w:r>
            <w:r>
              <w:t xml:space="preserve"> Las siete unidades, comparación con lo subido a Magnitude en tres cierres, sin copiar el histórico entero</w:t>
            </w:r>
          </w:p>
        </w:tc>
        <w:tc>
          <w:tcPr>
            <w:tcW w:w="800" w:type="dxa"/>
          </w:tcPr>
          <w:p>
            <w:pPr>
              <w:jc w:val="right"/>
            </w:pPr>
            <w:r>
              <w:t xml:space="preserve">1</w:t>
            </w:r>
          </w:p>
        </w:tc>
        <w:tc>
          <w:tcPr>
            <w:tcW w:w="1350" w:type="dxa"/>
          </w:tcPr>
          <w:p>
            <w:pPr>
              <w:jc w:val="right"/>
            </w:pPr>
            <w:r>
              <w:t xml:space="preserve">6</w:t>
            </w:r>
          </w:p>
        </w:tc>
        <w:tc>
          <w:tcPr>
            <w:tcW w:w="1000" w:type="dxa"/>
          </w:tcPr>
          <w:p>
            <w:pPr>
              <w:jc w:val="right"/>
            </w:pPr>
            <w:r>
              <w:t xml:space="preserve">3,4</w:t>
            </w:r>
          </w:p>
        </w:tc>
        <w:tc>
          <w:tcPr>
            <w:tcW w:w="1912" w:type="dxa"/>
          </w:tcPr>
          <w:p>
            <w:pPr/>
            <w:r>
              <w:t xml:space="preserve">J 1,5</w:t>
            </w:r>
          </w:p>
        </w:tc>
      </w:tr>
      <w:tr>
        <w:trPr>
          <w:cantSplit/>
        </w:trPr>
        <w:tc>
          <w:tcPr>
            <w:tcW w:w="450" w:type="dxa"/>
          </w:tcPr>
          <w:p>
            <w:pPr>
              <w:jc w:val="right"/>
            </w:pPr>
            <w:r>
              <w:t xml:space="preserve">13</w:t>
            </w:r>
          </w:p>
        </w:tc>
        <w:tc>
          <w:tcPr>
            <w:tcW w:w="3900" w:type="dxa"/>
          </w:tcPr>
          <w:p>
            <w:pPr/>
            <w:r>
              <w:rPr>
                <w:rStyle w:val="nfasis"/>
              </w:rPr>
              <w:t xml:space="preserve">TXT de Ageing, Revenue, Pendiente_Facturar y Working_Capital.</w:t>
            </w:r>
            <w:r>
              <w:t xml:space="preserve"> Definir con Tinkle y construir los cuatro ficheros</w:t>
            </w:r>
          </w:p>
        </w:tc>
        <w:tc>
          <w:tcPr>
            <w:tcW w:w="800" w:type="dxa"/>
          </w:tcPr>
          <w:p>
            <w:pPr>
              <w:jc w:val="right"/>
            </w:pPr>
            <w:r>
              <w:t xml:space="preserve">1</w:t>
            </w:r>
          </w:p>
        </w:tc>
        <w:tc>
          <w:tcPr>
            <w:tcW w:w="1350" w:type="dxa"/>
          </w:tcPr>
          <w:p>
            <w:pPr>
              <w:jc w:val="right"/>
            </w:pPr>
            <w:r>
              <w:t xml:space="preserve">12</w:t>
            </w:r>
          </w:p>
        </w:tc>
        <w:tc>
          <w:tcPr>
            <w:tcW w:w="1000" w:type="dxa"/>
          </w:tcPr>
          <w:p>
            <w:pPr>
              <w:jc w:val="right"/>
            </w:pPr>
            <w:r>
              <w:t xml:space="preserve">6</w:t>
            </w:r>
          </w:p>
        </w:tc>
        <w:tc>
          <w:tcPr>
            <w:tcW w:w="1912" w:type="dxa"/>
          </w:tcPr>
          <w:p>
            <w:pPr/>
            <w:r>
              <w:t xml:space="preserve">J 1,5, F 1,5</w:t>
            </w:r>
          </w:p>
        </w:tc>
      </w:tr>
      <w:tr>
        <w:trPr>
          <w:cantSplit/>
        </w:trPr>
        <w:tc>
          <w:tcPr>
            <w:tcW w:w="450" w:type="dxa"/>
          </w:tcPr>
          <w:p>
            <w:pPr>
              <w:jc w:val="right"/>
            </w:pPr>
            <w:r>
              <w:t xml:space="preserve">14</w:t>
            </w:r>
          </w:p>
        </w:tc>
        <w:tc>
          <w:tcPr>
            <w:tcW w:w="3900" w:type="dxa"/>
          </w:tcPr>
          <w:p>
            <w:pPr/>
            <w:r>
              <w:rPr>
                <w:rStyle w:val="nfasis"/>
              </w:rPr>
              <w:t xml:space="preserve">TXT de CashFlow.</w:t>
            </w:r>
            <w:r>
              <w:t xml:space="preserve"> Que Tinkle explique el proceso; construir y validar</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2,7</w:t>
            </w:r>
          </w:p>
        </w:tc>
        <w:tc>
          <w:tcPr>
            <w:tcW w:w="1912" w:type="dxa"/>
          </w:tcPr>
          <w:p>
            <w:pPr/>
            <w:r>
              <w:t xml:space="preserve">J 1, F 0,5</w:t>
            </w:r>
          </w:p>
        </w:tc>
      </w:tr>
      <w:tr>
        <w:trPr>
          <w:cantSplit/>
        </w:trPr>
        <w:tc>
          <w:tcPr>
            <w:tcW w:w="450" w:type="dxa"/>
          </w:tcPr>
          <w:p>
            <w:pPr>
              <w:jc w:val="right"/>
            </w:pPr>
            <w:r>
              <w:t xml:space="preserve">15</w:t>
            </w:r>
          </w:p>
        </w:tc>
        <w:tc>
          <w:tcPr>
            <w:tcW w:w="3900" w:type="dxa"/>
          </w:tcPr>
          <w:p>
            <w:pPr/>
            <w:r>
              <w:rPr>
                <w:rStyle w:val="nfasis"/>
              </w:rPr>
              <w:t xml:space="preserve">Intercompany para Magnitude (LPR).</w:t>
            </w:r>
            <w:r>
              <w:t xml:space="preserve"> Fichero de mayo, octubre y a veces julio</w:t>
            </w:r>
          </w:p>
        </w:tc>
        <w:tc>
          <w:tcPr>
            <w:tcW w:w="800" w:type="dxa"/>
          </w:tcPr>
          <w:p>
            <w:pPr>
              <w:jc w:val="right"/>
            </w:pPr>
            <w:r>
              <w:t xml:space="preserve">2</w:t>
            </w:r>
          </w:p>
        </w:tc>
        <w:tc>
          <w:tcPr>
            <w:tcW w:w="1350" w:type="dxa"/>
          </w:tcPr>
          <w:p>
            <w:pPr>
              <w:jc w:val="right"/>
            </w:pPr>
            <w:r>
              <w:t xml:space="preserve">2</w:t>
            </w:r>
          </w:p>
        </w:tc>
        <w:tc>
          <w:tcPr>
            <w:tcW w:w="1000" w:type="dxa"/>
          </w:tcPr>
          <w:p>
            <w:pPr>
              <w:jc w:val="right"/>
            </w:pPr>
            <w:r>
              <w:t xml:space="preserve">1,2</w:t>
            </w:r>
          </w:p>
        </w:tc>
        <w:tc>
          <w:tcPr>
            <w:tcW w:w="1912" w:type="dxa"/>
          </w:tcPr>
          <w:p>
            <w:pPr/>
            <w:r>
              <w:t xml:space="preserve">J 0,5</w:t>
            </w:r>
          </w:p>
        </w:tc>
      </w:tr>
      <w:tr>
        <w:trPr>
          <w:cantSplit/>
        </w:trPr>
        <w:tc>
          <w:tcPr>
            <w:tcW w:w="450" w:type="dxa"/>
          </w:tcPr>
          <w:p>
            <w:pPr>
              <w:jc w:val="right"/>
            </w:pPr>
            <w:r>
              <w:t xml:space="preserve">16</w:t>
            </w:r>
          </w:p>
        </w:tc>
        <w:tc>
          <w:tcPr>
            <w:tcW w:w="3900" w:type="dxa"/>
          </w:tcPr>
          <w:p>
            <w:pPr/>
            <w:r>
              <w:rPr>
                <w:rStyle w:val="nfasis"/>
              </w:rPr>
              <w:t xml:space="preserve">Sustitución de Magnitude.</w:t>
            </w:r>
            <w:r>
              <w:t xml:space="preserve"> Fecha y formato nuevos (probablemente Tagetik)</w:t>
            </w:r>
          </w:p>
        </w:tc>
        <w:tc>
          <w:tcPr>
            <w:tcW w:w="800" w:type="dxa"/>
          </w:tcPr>
          <w:p>
            <w:pPr>
              <w:jc w:val="right"/>
            </w:pPr>
            <w:r>
              <w:t xml:space="preserve">2</w:t>
            </w:r>
          </w:p>
        </w:tc>
        <w:tc>
          <w:tcPr>
            <w:tcW w:w="1350" w:type="dxa"/>
          </w:tcPr>
          <w:p>
            <w:pPr>
              <w:jc w:val="right"/>
            </w:pPr>
            <w:r>
              <w:t xml:space="preserve">sin estimar</w:t>
            </w:r>
          </w:p>
        </w:tc>
        <w:tc>
          <w:tcPr>
            <w:tcW w:w="1000" w:type="dxa"/>
          </w:tcPr>
          <w:p>
            <w:pPr>
              <w:jc w:val="right"/>
            </w:pPr>
            <w:r>
              <w:t xml:space="preserve">sin estimar</w:t>
            </w:r>
          </w:p>
        </w:tc>
        <w:tc>
          <w:tcPr>
            <w:tcW w:w="1912" w:type="dxa"/>
          </w:tcPr>
          <w:p>
            <w:pPr/>
            <w:r>
              <w:t xml:space="preserve">sin estimar</w:t>
            </w:r>
          </w:p>
        </w:tc>
      </w:tr>
    </w:tbl>
    <w:p>
      <w:pPr>
        <w:pStyle w:val="Nota"/>
      </w:pPr>
      <w:r>
        <w:t xml:space="preserve">Pendientes del registro: 12: P-055 a P-057, P-059 a P-062; O7; 13: Preguntas 1 a 12 de PREGUNTAS_PARA_TINKLE.md; 14: P-064; preguntas 13 a 15; 15: P-063; 16: P-058.</w:t>
      </w:r>
    </w:p>
    <w:p>
      <w:pPr>
        <w:pStyle w:val="Heading3"/>
      </w:pPr>
      <w:r>
        <w:t xml:space="preserve">MMS y clientes</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17</w:t>
            </w:r>
          </w:p>
        </w:tc>
        <w:tc>
          <w:tcPr>
            <w:tcW w:w="3900" w:type="dxa"/>
          </w:tcPr>
          <w:p>
            <w:pPr/>
            <w:r>
              <w:rPr>
                <w:rStyle w:val="nfasis"/>
              </w:rPr>
              <w:t xml:space="preserve">MMS.</w:t>
            </w:r>
            <w:r>
              <w:t xml:space="preserve"> Foto de cierre mensual, cuadre con el checklist, pendientes de facturar y de recibir</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2,6</w:t>
            </w:r>
          </w:p>
        </w:tc>
        <w:tc>
          <w:tcPr>
            <w:tcW w:w="1912" w:type="dxa"/>
          </w:tcPr>
          <w:p>
            <w:pPr/>
            <w:r>
              <w:t xml:space="preserve">J 1, F 0,5</w:t>
            </w:r>
          </w:p>
        </w:tc>
      </w:tr>
      <w:tr>
        <w:trPr>
          <w:cantSplit/>
        </w:trPr>
        <w:tc>
          <w:tcPr>
            <w:tcW w:w="450" w:type="dxa"/>
          </w:tcPr>
          <w:p>
            <w:pPr>
              <w:jc w:val="right"/>
            </w:pPr>
            <w:r>
              <w:t xml:space="preserve">18</w:t>
            </w:r>
          </w:p>
        </w:tc>
        <w:tc>
          <w:tcPr>
            <w:tcW w:w="3900" w:type="dxa"/>
          </w:tcPr>
          <w:p>
            <w:pPr/>
            <w:r>
              <w:rPr>
                <w:rStyle w:val="nfasis"/>
              </w:rPr>
              <w:t xml:space="preserve">Maestro de clientes.</w:t>
            </w:r>
            <w:r>
              <w:t xml:space="preserve"> Tabla única Oracle, MMS, sección y límite de crédito; correspondencia de centros de coste</w:t>
            </w:r>
          </w:p>
        </w:tc>
        <w:tc>
          <w:tcPr>
            <w:tcW w:w="800" w:type="dxa"/>
          </w:tcPr>
          <w:p>
            <w:pPr>
              <w:jc w:val="right"/>
            </w:pPr>
            <w:r>
              <w:t xml:space="preserve">1</w:t>
            </w:r>
          </w:p>
        </w:tc>
        <w:tc>
          <w:tcPr>
            <w:tcW w:w="1350" w:type="dxa"/>
          </w:tcPr>
          <w:p>
            <w:pPr>
              <w:jc w:val="right"/>
            </w:pPr>
            <w:r>
              <w:t xml:space="preserve">4</w:t>
            </w:r>
          </w:p>
        </w:tc>
        <w:tc>
          <w:tcPr>
            <w:tcW w:w="1000" w:type="dxa"/>
          </w:tcPr>
          <w:p>
            <w:pPr>
              <w:jc w:val="right"/>
            </w:pPr>
            <w:r>
              <w:t xml:space="preserve">1,6</w:t>
            </w:r>
          </w:p>
        </w:tc>
        <w:tc>
          <w:tcPr>
            <w:tcW w:w="1912" w:type="dxa"/>
          </w:tcPr>
          <w:p>
            <w:pPr/>
            <w:r>
              <w:t xml:space="preserve">J 1,5</w:t>
            </w:r>
          </w:p>
        </w:tc>
      </w:tr>
    </w:tbl>
    <w:p>
      <w:pPr>
        <w:pStyle w:val="Nota"/>
      </w:pPr>
      <w:r>
        <w:t xml:space="preserve">Pendientes del registro: 17: P-066, P-070 a P-082; 18: P-128 a P-133.</w:t>
      </w:r>
    </w:p>
    <w:p>
      <w:pPr>
        <w:pStyle w:val="Heading3"/>
      </w:pPr>
      <w:r>
        <w:t xml:space="preserve">Presupuesto</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19</w:t>
            </w:r>
          </w:p>
        </w:tc>
        <w:tc>
          <w:tcPr>
            <w:tcW w:w="3900" w:type="dxa"/>
          </w:tcPr>
          <w:p>
            <w:pPr/>
            <w:r>
              <w:rPr>
                <w:rStyle w:val="nfasis"/>
              </w:rPr>
              <w:t xml:space="preserve">Modelo de atribución de gastos.</w:t>
            </w:r>
            <w:r>
              <w:t xml:space="preserve"> Decidir cuentas, centros de coste, gastos comunes y compartidos, porcentajes, reparto mensual y objetivo</w:t>
            </w:r>
          </w:p>
        </w:tc>
        <w:tc>
          <w:tcPr>
            <w:tcW w:w="800" w:type="dxa"/>
          </w:tcPr>
          <w:p>
            <w:pPr>
              <w:jc w:val="right"/>
            </w:pPr>
            <w:r>
              <w:t xml:space="preserve">1</w:t>
            </w:r>
          </w:p>
        </w:tc>
        <w:tc>
          <w:tcPr>
            <w:tcW w:w="1350" w:type="dxa"/>
          </w:tcPr>
          <w:p>
            <w:pPr>
              <w:jc w:val="right"/>
            </w:pPr>
            <w:r>
              <w:t xml:space="preserve">4</w:t>
            </w:r>
          </w:p>
        </w:tc>
        <w:tc>
          <w:tcPr>
            <w:tcW w:w="1000" w:type="dxa"/>
          </w:tcPr>
          <w:p>
            <w:pPr>
              <w:jc w:val="right"/>
            </w:pPr>
            <w:r>
              <w:t xml:space="preserve">2,5</w:t>
            </w:r>
          </w:p>
        </w:tc>
        <w:tc>
          <w:tcPr>
            <w:tcW w:w="1912" w:type="dxa"/>
          </w:tcPr>
          <w:p>
            <w:pPr/>
            <w:r>
              <w:t xml:space="preserve">F 2, D 1,5</w:t>
            </w:r>
          </w:p>
        </w:tc>
      </w:tr>
      <w:tr>
        <w:trPr>
          <w:cantSplit/>
        </w:trPr>
        <w:tc>
          <w:tcPr>
            <w:tcW w:w="450" w:type="dxa"/>
          </w:tcPr>
          <w:p>
            <w:pPr>
              <w:jc w:val="right"/>
            </w:pPr>
            <w:r>
              <w:t xml:space="preserve">20</w:t>
            </w:r>
          </w:p>
        </w:tc>
        <w:tc>
          <w:tcPr>
            <w:tcW w:w="3900" w:type="dxa"/>
          </w:tcPr>
          <w:p>
            <w:pPr/>
            <w:r>
              <w:rPr>
                <w:rStyle w:val="nfasis"/>
              </w:rPr>
              <w:t xml:space="preserve">Draft de presupuesto y forecast.</w:t>
            </w:r>
            <w:r>
              <w:t xml:space="preserve"> Reglas configurables por partida, mensualización, meses cerrados y abiertos, nuevo negocio</w:t>
            </w:r>
          </w:p>
        </w:tc>
        <w:tc>
          <w:tcPr>
            <w:tcW w:w="800" w:type="dxa"/>
          </w:tcPr>
          <w:p>
            <w:pPr>
              <w:jc w:val="right"/>
            </w:pPr>
            <w:r>
              <w:t xml:space="preserve">1</w:t>
            </w:r>
          </w:p>
        </w:tc>
        <w:tc>
          <w:tcPr>
            <w:tcW w:w="1350" w:type="dxa"/>
          </w:tcPr>
          <w:p>
            <w:pPr>
              <w:jc w:val="right"/>
            </w:pPr>
            <w:r>
              <w:t xml:space="preserve">15</w:t>
            </w:r>
          </w:p>
        </w:tc>
        <w:tc>
          <w:tcPr>
            <w:tcW w:w="1000" w:type="dxa"/>
          </w:tcPr>
          <w:p>
            <w:pPr>
              <w:jc w:val="right"/>
            </w:pPr>
            <w:r>
              <w:t xml:space="preserve">6,6</w:t>
            </w:r>
          </w:p>
        </w:tc>
        <w:tc>
          <w:tcPr>
            <w:tcW w:w="1912" w:type="dxa"/>
          </w:tcPr>
          <w:p>
            <w:pPr/>
            <w:r>
              <w:t xml:space="preserve">F 3, D 1</w:t>
            </w:r>
          </w:p>
        </w:tc>
      </w:tr>
      <w:tr>
        <w:trPr>
          <w:cantSplit/>
        </w:trPr>
        <w:tc>
          <w:tcPr>
            <w:tcW w:w="450" w:type="dxa"/>
          </w:tcPr>
          <w:p>
            <w:pPr>
              <w:jc w:val="right"/>
            </w:pPr>
            <w:r>
              <w:t xml:space="preserve">21</w:t>
            </w:r>
          </w:p>
        </w:tc>
        <w:tc>
          <w:tcPr>
            <w:tcW w:w="3900" w:type="dxa"/>
          </w:tcPr>
          <w:p>
            <w:pPr/>
            <w:r>
              <w:rPr>
                <w:rStyle w:val="nfasis"/>
              </w:rPr>
              <w:t xml:space="preserve">Captura por directora.</w:t>
            </w:r>
            <w:r>
              <w:t xml:space="preserve"> Formulario o Planning con sus clientes y MMS precargado, clientes nuevos y vuelta al lakehouse</w:t>
            </w:r>
          </w:p>
        </w:tc>
        <w:tc>
          <w:tcPr>
            <w:tcW w:w="800" w:type="dxa"/>
          </w:tcPr>
          <w:p>
            <w:pPr>
              <w:jc w:val="right"/>
            </w:pPr>
            <w:r>
              <w:t xml:space="preserve">2</w:t>
            </w:r>
          </w:p>
        </w:tc>
        <w:tc>
          <w:tcPr>
            <w:tcW w:w="1350" w:type="dxa"/>
          </w:tcPr>
          <w:p>
            <w:pPr>
              <w:jc w:val="right"/>
            </w:pPr>
            <w:r>
              <w:t xml:space="preserve">8</w:t>
            </w:r>
          </w:p>
        </w:tc>
        <w:tc>
          <w:tcPr>
            <w:tcW w:w="1000" w:type="dxa"/>
          </w:tcPr>
          <w:p>
            <w:pPr>
              <w:jc w:val="right"/>
            </w:pPr>
            <w:r>
              <w:t xml:space="preserve">4,1</w:t>
            </w:r>
          </w:p>
        </w:tc>
        <w:tc>
          <w:tcPr>
            <w:tcW w:w="1912" w:type="dxa"/>
          </w:tcPr>
          <w:p>
            <w:pPr/>
            <w:r>
              <w:t xml:space="preserve">F 2, Dir 0,5 c/u</w:t>
            </w:r>
          </w:p>
        </w:tc>
      </w:tr>
      <w:tr>
        <w:trPr>
          <w:cantSplit/>
        </w:trPr>
        <w:tc>
          <w:tcPr>
            <w:tcW w:w="450" w:type="dxa"/>
          </w:tcPr>
          <w:p>
            <w:pPr>
              <w:jc w:val="right"/>
            </w:pPr>
            <w:r>
              <w:t xml:space="preserve">22</w:t>
            </w:r>
          </w:p>
        </w:tc>
        <w:tc>
          <w:tcPr>
            <w:tcW w:w="3900" w:type="dxa"/>
          </w:tcPr>
          <w:p>
            <w:pPr/>
            <w:r>
              <w:rPr>
                <w:rStyle w:val="nfasis"/>
              </w:rPr>
              <w:t xml:space="preserve">Presupuesto a Magnitude.</w:t>
            </w:r>
            <w:r>
              <w:t xml:space="preserve"> Salida en el formato de carga</w:t>
            </w:r>
          </w:p>
        </w:tc>
        <w:tc>
          <w:tcPr>
            <w:tcW w:w="800" w:type="dxa"/>
          </w:tcPr>
          <w:p>
            <w:pPr>
              <w:jc w:val="right"/>
            </w:pPr>
            <w:r>
              <w:t xml:space="preserve">1</w:t>
            </w:r>
          </w:p>
        </w:tc>
        <w:tc>
          <w:tcPr>
            <w:tcW w:w="1350" w:type="dxa"/>
          </w:tcPr>
          <w:p>
            <w:pPr>
              <w:jc w:val="right"/>
            </w:pPr>
            <w:r>
              <w:t xml:space="preserve">3</w:t>
            </w:r>
          </w:p>
        </w:tc>
        <w:tc>
          <w:tcPr>
            <w:tcW w:w="1000" w:type="dxa"/>
          </w:tcPr>
          <w:p>
            <w:pPr>
              <w:jc w:val="right"/>
            </w:pPr>
            <w:r>
              <w:t xml:space="preserve">1,6</w:t>
            </w:r>
          </w:p>
        </w:tc>
        <w:tc>
          <w:tcPr>
            <w:tcW w:w="1912" w:type="dxa"/>
          </w:tcPr>
          <w:p>
            <w:pPr/>
            <w:r>
              <w:t xml:space="preserve">F 0,5</w:t>
            </w:r>
          </w:p>
        </w:tc>
      </w:tr>
    </w:tbl>
    <w:p>
      <w:pPr>
        <w:pStyle w:val="Nota"/>
      </w:pPr>
      <w:r>
        <w:t xml:space="preserve">Pendientes del registro: 19: P-091, P-092, P-099, P-101, P-102, P-135, P-136; 20: P-083 a P-090, P-093 a P-098, P-100, P-107 a P-114; 21: P-103 a P-106, P-116 a P-119; M9; 22: P-065.</w:t>
      </w:r>
    </w:p>
    <w:p>
      <w:pPr>
        <w:pStyle w:val="Heading3"/>
      </w:pPr>
      <w:r>
        <w:t xml:space="preserve">Personal y rentabilidad</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23</w:t>
            </w:r>
          </w:p>
        </w:tc>
        <w:tc>
          <w:tcPr>
            <w:tcW w:w="3900" w:type="dxa"/>
          </w:tcPr>
          <w:p>
            <w:pPr/>
            <w:r>
              <w:rPr>
                <w:rStyle w:val="nfasis"/>
              </w:rPr>
              <w:t xml:space="preserve">Organigrama y dedicación.</w:t>
            </w:r>
            <w:r>
              <w:t xml:space="preserve"> Equipos y subcentros, matriz de dedicación que sume 100 %, Compensation</w:t>
            </w:r>
          </w:p>
        </w:tc>
        <w:tc>
          <w:tcPr>
            <w:tcW w:w="800" w:type="dxa"/>
          </w:tcPr>
          <w:p>
            <w:pPr>
              <w:jc w:val="right"/>
            </w:pPr>
            <w:r>
              <w:t xml:space="preserve">1</w:t>
            </w:r>
          </w:p>
        </w:tc>
        <w:tc>
          <w:tcPr>
            <w:tcW w:w="1350" w:type="dxa"/>
          </w:tcPr>
          <w:p>
            <w:pPr>
              <w:jc w:val="right"/>
            </w:pPr>
            <w:r>
              <w:t xml:space="preserve">6</w:t>
            </w:r>
          </w:p>
        </w:tc>
        <w:tc>
          <w:tcPr>
            <w:tcW w:w="1000" w:type="dxa"/>
          </w:tcPr>
          <w:p>
            <w:pPr>
              <w:jc w:val="right"/>
            </w:pPr>
            <w:r>
              <w:t xml:space="preserve">2,4</w:t>
            </w:r>
          </w:p>
        </w:tc>
        <w:tc>
          <w:tcPr>
            <w:tcW w:w="1912" w:type="dxa"/>
          </w:tcPr>
          <w:p>
            <w:pPr/>
            <w:r>
              <w:t xml:space="preserve">F 3, D 0,5</w:t>
            </w:r>
          </w:p>
        </w:tc>
      </w:tr>
      <w:tr>
        <w:trPr>
          <w:cantSplit/>
        </w:trPr>
        <w:tc>
          <w:tcPr>
            <w:tcW w:w="450" w:type="dxa"/>
          </w:tcPr>
          <w:p>
            <w:pPr>
              <w:jc w:val="right"/>
            </w:pPr>
            <w:r>
              <w:t xml:space="preserve">24</w:t>
            </w:r>
          </w:p>
        </w:tc>
        <w:tc>
          <w:tcPr>
            <w:tcW w:w="3900" w:type="dxa"/>
          </w:tcPr>
          <w:p>
            <w:pPr/>
            <w:r>
              <w:rPr>
                <w:rStyle w:val="nfasis"/>
              </w:rPr>
              <w:t xml:space="preserve">Rentabilidad.</w:t>
            </w:r>
            <w:r>
              <w:t xml:space="preserve"> Coste imputado, rentabilidad por directora, equipo y cliente sin doble cómputo, overheads, criterio de reparto entre secciones</w:t>
            </w:r>
          </w:p>
        </w:tc>
        <w:tc>
          <w:tcPr>
            <w:tcW w:w="800" w:type="dxa"/>
          </w:tcPr>
          <w:p>
            <w:pPr>
              <w:jc w:val="right"/>
            </w:pPr>
            <w:r>
              <w:t xml:space="preserve">1</w:t>
            </w:r>
          </w:p>
        </w:tc>
        <w:tc>
          <w:tcPr>
            <w:tcW w:w="1350" w:type="dxa"/>
          </w:tcPr>
          <w:p>
            <w:pPr>
              <w:jc w:val="right"/>
            </w:pPr>
            <w:r>
              <w:t xml:space="preserve">8</w:t>
            </w:r>
          </w:p>
        </w:tc>
        <w:tc>
          <w:tcPr>
            <w:tcW w:w="1000" w:type="dxa"/>
          </w:tcPr>
          <w:p>
            <w:pPr>
              <w:jc w:val="right"/>
            </w:pPr>
            <w:r>
              <w:t xml:space="preserve">3,2</w:t>
            </w:r>
          </w:p>
        </w:tc>
        <w:tc>
          <w:tcPr>
            <w:tcW w:w="1912" w:type="dxa"/>
          </w:tcPr>
          <w:p>
            <w:pPr/>
            <w:r>
              <w:t xml:space="preserve">F 1,5, D 0,5</w:t>
            </w:r>
          </w:p>
        </w:tc>
      </w:tr>
    </w:tbl>
    <w:p>
      <w:pPr>
        <w:pStyle w:val="Nota"/>
      </w:pPr>
      <w:r>
        <w:t xml:space="preserve">Pendientes del registro: 23: P-115, P-150 a P-164, P-168 a P-171; 24: P-120 a P-127, P-134, P-137 a P-149, P-165 a P-167.</w:t>
      </w:r>
    </w:p>
    <w:p>
      <w:pPr>
        <w:pStyle w:val="Heading3"/>
      </w:pPr>
      <w:r>
        <w:t xml:space="preserve">Agings</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25</w:t>
            </w:r>
          </w:p>
        </w:tc>
        <w:tc>
          <w:tcPr>
            <w:tcW w:w="3900" w:type="dxa"/>
          </w:tcPr>
          <w:p>
            <w:pPr/>
            <w:r>
              <w:rPr>
                <w:rStyle w:val="nfasis"/>
              </w:rPr>
              <w:t xml:space="preserve">Agings y riesgo de crédito.</w:t>
            </w:r>
            <w:r>
              <w:t xml:space="preserve"> Fecha de vencimiento, consolidado, límites de crédito, calendario no fijo</w:t>
            </w:r>
          </w:p>
        </w:tc>
        <w:tc>
          <w:tcPr>
            <w:tcW w:w="800" w:type="dxa"/>
          </w:tcPr>
          <w:p>
            <w:pPr>
              <w:jc w:val="right"/>
            </w:pPr>
            <w:r>
              <w:t xml:space="preserve">1</w:t>
            </w:r>
          </w:p>
        </w:tc>
        <w:tc>
          <w:tcPr>
            <w:tcW w:w="1350" w:type="dxa"/>
          </w:tcPr>
          <w:p>
            <w:pPr>
              <w:jc w:val="right"/>
            </w:pPr>
            <w:r>
              <w:t xml:space="preserve">7</w:t>
            </w:r>
          </w:p>
        </w:tc>
        <w:tc>
          <w:tcPr>
            <w:tcW w:w="1000" w:type="dxa"/>
          </w:tcPr>
          <w:p>
            <w:pPr>
              <w:jc w:val="right"/>
            </w:pPr>
            <w:r>
              <w:t xml:space="preserve">3,2</w:t>
            </w:r>
          </w:p>
        </w:tc>
        <w:tc>
          <w:tcPr>
            <w:tcW w:w="1912" w:type="dxa"/>
          </w:tcPr>
          <w:p>
            <w:pPr/>
            <w:r>
              <w:t xml:space="preserve">F 1,5</w:t>
            </w:r>
          </w:p>
        </w:tc>
      </w:tr>
    </w:tbl>
    <w:p>
      <w:pPr>
        <w:pStyle w:val="Nota"/>
      </w:pPr>
      <w:r>
        <w:t xml:space="preserve">Pendientes del registro: 25: P-172 a P-187; N10.</w:t>
      </w:r>
    </w:p>
    <w:p>
      <w:pPr>
        <w:pStyle w:val="Heading3"/>
      </w:pPr>
      <w:r>
        <w:t xml:space="preserve">Seguridad</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26</w:t>
            </w:r>
          </w:p>
        </w:tc>
        <w:tc>
          <w:tcPr>
            <w:tcW w:w="3900" w:type="dxa"/>
          </w:tcPr>
          <w:p>
            <w:pPr/>
            <w:r>
              <w:rPr>
                <w:rStyle w:val="nfasis"/>
              </w:rPr>
              <w:t xml:space="preserve">Accesos por usuario y datos salariales.</w:t>
            </w:r>
            <w:r>
              <w:t xml:space="preserve"> Roles, directoras solo con lo suyo, salarios solo para finanzas, tratamiento de nóminas</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3</w:t>
            </w:r>
          </w:p>
        </w:tc>
        <w:tc>
          <w:tcPr>
            <w:tcW w:w="1912" w:type="dxa"/>
          </w:tcPr>
          <w:p>
            <w:pPr/>
            <w:r>
              <w:t xml:space="preserve">F 0,5, D 0,5</w:t>
            </w:r>
          </w:p>
        </w:tc>
      </w:tr>
      <w:tr>
        <w:trPr>
          <w:cantSplit/>
        </w:trPr>
        <w:tc>
          <w:tcPr>
            <w:tcW w:w="450" w:type="dxa"/>
          </w:tcPr>
          <w:p>
            <w:pPr>
              <w:jc w:val="right"/>
            </w:pPr>
            <w:r>
              <w:t xml:space="preserve">27</w:t>
            </w:r>
          </w:p>
        </w:tc>
        <w:tc>
          <w:tcPr>
            <w:tcW w:w="3900" w:type="dxa"/>
          </w:tcPr>
          <w:p>
            <w:pPr/>
            <w:r>
              <w:rPr>
                <w:rStyle w:val="nfasis"/>
              </w:rPr>
              <w:t xml:space="preserve">Seguridad técnica.</w:t>
            </w:r>
            <w:r>
              <w:t xml:space="preserve"> Sacar el secreto de las funciones de usuario y revisar las entidades de servicio</w:t>
            </w:r>
          </w:p>
        </w:tc>
        <w:tc>
          <w:tcPr>
            <w:tcW w:w="800" w:type="dxa"/>
          </w:tcPr>
          <w:p>
            <w:pPr>
              <w:jc w:val="right"/>
            </w:pPr>
            <w:r>
              <w:t xml:space="preserve">1</w:t>
            </w:r>
          </w:p>
        </w:tc>
        <w:tc>
          <w:tcPr>
            <w:tcW w:w="1350" w:type="dxa"/>
          </w:tcPr>
          <w:p>
            <w:pPr>
              <w:jc w:val="right"/>
            </w:pPr>
            <w:r>
              <w:t xml:space="preserve">1,5</w:t>
            </w:r>
          </w:p>
        </w:tc>
        <w:tc>
          <w:tcPr>
            <w:tcW w:w="1000" w:type="dxa"/>
          </w:tcPr>
          <w:p>
            <w:pPr>
              <w:jc w:val="right"/>
            </w:pPr>
            <w:r>
              <w:t xml:space="preserve">0,6</w:t>
            </w:r>
          </w:p>
        </w:tc>
        <w:tc>
          <w:tcPr>
            <w:tcW w:w="1912" w:type="dxa"/>
          </w:tcPr>
          <w:p>
            <w:pPr/>
            <w:r>
              <w:t xml:space="preserve">IT 0,5</w:t>
            </w:r>
          </w:p>
        </w:tc>
      </w:tr>
    </w:tbl>
    <w:p>
      <w:pPr>
        <w:pStyle w:val="Nota"/>
      </w:pPr>
      <w:r>
        <w:t xml:space="preserve">Pendientes del registro: 26: P-188 a P-201; S3, S4, N3; 27: S1, S2, S8, N5.</w:t>
      </w:r>
    </w:p>
    <w:p>
      <w:pPr>
        <w:pStyle w:val="Heading3"/>
      </w:pPr>
      <w:r>
        <w:t xml:space="preserve">Plataforma y proyecto</w:t>
      </w:r>
    </w:p>
    <w:tbl>
      <w:tblPr>
        <w:tblStyle w:val="TablaDocenteo"/>
        <w:tblW w:w="9412" w:type="dxa"/>
        <w:tblLayout w:type="fixed"/>
        <w:tblLook w:val="0420" w:firstRow="1" w:lastRow="0" w:firstColumn="0" w:lastColumn="0" w:noHBand="1" w:noVBand="1"/>
      </w:tblPr>
      <w:tblGrid>
        <w:gridCol w:w="450"/>
        <w:gridCol w:w="3900"/>
        <w:gridCol w:w="800"/>
        <w:gridCol w:w="1350"/>
        <w:gridCol w:w="1000"/>
        <w:gridCol w:w="1912"/>
      </w:tblGrid>
      <w:tr>
        <w:trPr>
          <w:tblHeader/>
          <w:cantSplit/>
        </w:trPr>
        <w:tc>
          <w:tcPr>
            <w:tcW w:w="450" w:type="dxa"/>
          </w:tcPr>
          <w:p>
            <w:pPr>
              <w:jc w:val="right"/>
            </w:pPr>
            <w:r>
              <w:t xml:space="preserve">Nº</w:t>
            </w:r>
          </w:p>
        </w:tc>
        <w:tc>
          <w:tcPr>
            <w:tcW w:w="3900" w:type="dxa"/>
          </w:tcPr>
          <w:p>
            <w:pPr/>
            <w:r>
              <w:t xml:space="preserve">Concepto y qué falta</w:t>
            </w:r>
          </w:p>
        </w:tc>
        <w:tc>
          <w:tcPr>
            <w:tcW w:w="800" w:type="dxa"/>
          </w:tcPr>
          <w:p>
            <w:pPr>
              <w:jc w:val="right"/>
            </w:pPr>
            <w:r>
              <w:t xml:space="preserve">Prior.</w:t>
            </w:r>
          </w:p>
        </w:tc>
        <w:tc>
          <w:tcPr>
            <w:tcW w:w="1350" w:type="dxa"/>
          </w:tcPr>
          <w:p>
            <w:pPr>
              <w:jc w:val="right"/>
            </w:pPr>
            <w:r>
              <w:t xml:space="preserve">Tradicional</w:t>
            </w:r>
          </w:p>
        </w:tc>
        <w:tc>
          <w:tcPr>
            <w:tcW w:w="1000" w:type="dxa"/>
          </w:tcPr>
          <w:p>
            <w:pPr>
              <w:jc w:val="right"/>
            </w:pPr>
            <w:r>
              <w:t xml:space="preserve">Con IA</w:t>
            </w:r>
          </w:p>
        </w:tc>
        <w:tc>
          <w:tcPr>
            <w:tcW w:w="1912" w:type="dxa"/>
          </w:tcPr>
          <w:p>
            <w:pPr/>
            <w:r>
              <w:t xml:space="preserve">Tinkle</w:t>
            </w:r>
          </w:p>
        </w:tc>
      </w:tr>
      <w:tr>
        <w:trPr>
          <w:cantSplit/>
        </w:trPr>
        <w:tc>
          <w:tcPr>
            <w:tcW w:w="450" w:type="dxa"/>
          </w:tcPr>
          <w:p>
            <w:pPr>
              <w:jc w:val="right"/>
            </w:pPr>
            <w:r>
              <w:t xml:space="preserve">28</w:t>
            </w:r>
          </w:p>
        </w:tc>
        <w:tc>
          <w:tcPr>
            <w:tcW w:w="3900" w:type="dxa"/>
          </w:tcPr>
          <w:p>
            <w:pPr/>
            <w:r>
              <w:rPr>
                <w:rStyle w:val="nfasis"/>
              </w:rPr>
              <w:t xml:space="preserve">Orquestación y operación.</w:t>
            </w:r>
            <w:r>
              <w:t xml:space="preserve"> Pipeline padre, condiciones de éxito, alertas, un productor por tabla, maestros orquestados, capacidad</w:t>
            </w:r>
          </w:p>
        </w:tc>
        <w:tc>
          <w:tcPr>
            <w:tcW w:w="800" w:type="dxa"/>
          </w:tcPr>
          <w:p>
            <w:pPr>
              <w:jc w:val="right"/>
            </w:pPr>
            <w:r>
              <w:t xml:space="preserve">1</w:t>
            </w:r>
          </w:p>
        </w:tc>
        <w:tc>
          <w:tcPr>
            <w:tcW w:w="1350" w:type="dxa"/>
          </w:tcPr>
          <w:p>
            <w:pPr>
              <w:jc w:val="right"/>
            </w:pPr>
            <w:r>
              <w:t xml:space="preserve">5</w:t>
            </w:r>
          </w:p>
        </w:tc>
        <w:tc>
          <w:tcPr>
            <w:tcW w:w="1000" w:type="dxa"/>
          </w:tcPr>
          <w:p>
            <w:pPr>
              <w:jc w:val="right"/>
            </w:pPr>
            <w:r>
              <w:t xml:space="preserve">2,3</w:t>
            </w:r>
          </w:p>
        </w:tc>
        <w:tc>
          <w:tcPr>
            <w:tcW w:w="1912" w:type="dxa"/>
          </w:tcPr>
          <w:p>
            <w:pPr/>
            <w:r>
              <w:t xml:space="preserve">ninguno</w:t>
            </w:r>
          </w:p>
        </w:tc>
      </w:tr>
      <w:tr>
        <w:trPr>
          <w:cantSplit/>
        </w:trPr>
        <w:tc>
          <w:tcPr>
            <w:tcW w:w="450" w:type="dxa"/>
          </w:tcPr>
          <w:p>
            <w:pPr>
              <w:jc w:val="right"/>
            </w:pPr>
            <w:r>
              <w:t xml:space="preserve">29</w:t>
            </w:r>
          </w:p>
        </w:tc>
        <w:tc>
          <w:tcPr>
            <w:tcW w:w="3900" w:type="dxa"/>
          </w:tcPr>
          <w:p>
            <w:pPr/>
            <w:r>
              <w:rPr>
                <w:rStyle w:val="nfasis"/>
              </w:rPr>
              <w:t xml:space="preserve">Gobierno y adopción.</w:t>
            </w:r>
            <w:r>
              <w:t xml:space="preserve"> Decisiones con responsable y fecha, seguimiento semanal, sesiones con Josep, formación</w:t>
            </w:r>
          </w:p>
        </w:tc>
        <w:tc>
          <w:tcPr>
            <w:tcW w:w="800" w:type="dxa"/>
          </w:tcPr>
          <w:p>
            <w:pPr>
              <w:jc w:val="right"/>
            </w:pPr>
            <w:r>
              <w:t xml:space="preserve">1</w:t>
            </w:r>
          </w:p>
        </w:tc>
        <w:tc>
          <w:tcPr>
            <w:tcW w:w="1350" w:type="dxa"/>
          </w:tcPr>
          <w:p>
            <w:pPr>
              <w:jc w:val="right"/>
            </w:pPr>
            <w:r>
              <w:t xml:space="preserve">10</w:t>
            </w:r>
          </w:p>
        </w:tc>
        <w:tc>
          <w:tcPr>
            <w:tcW w:w="1000" w:type="dxa"/>
          </w:tcPr>
          <w:p>
            <w:pPr>
              <w:jc w:val="right"/>
            </w:pPr>
            <w:r>
              <w:t xml:space="preserve">9,1</w:t>
            </w:r>
          </w:p>
        </w:tc>
        <w:tc>
          <w:tcPr>
            <w:tcW w:w="1912" w:type="dxa"/>
          </w:tcPr>
          <w:p>
            <w:pPr/>
            <w:r>
              <w:t xml:space="preserve">J 2, F 2, D 1</w:t>
            </w:r>
          </w:p>
        </w:tc>
      </w:tr>
    </w:tbl>
    <w:p>
      <w:pPr>
        <w:pStyle w:val="Nota"/>
      </w:pPr>
      <w:r>
        <w:t xml:space="preserve">Pendientes del registro: 28: O1 a O6, O8, O9, N1, N4; 29: P-203 a P-212, P-218 a P-226.</w:t>
      </w:r>
    </w:p>
    <w:p>
      <w:pPr>
        <w:pStyle w:val="Heading2"/>
      </w:pPr>
      <w:r>
        <w:t xml:space="preserve">Totales</w:t>
      </w:r>
    </w:p>
    <w:tbl>
      <w:tblPr>
        <w:tblStyle w:val="TablaDocenteo"/>
        <w:tblW w:w="9412" w:type="dxa"/>
        <w:tblLayout w:type="fixed"/>
        <w:tblLook w:val="0420" w:firstRow="1" w:lastRow="0" w:firstColumn="0" w:lastColumn="0" w:noHBand="1" w:noVBand="1"/>
      </w:tblPr>
      <w:tblGrid>
        <w:gridCol w:w="1340"/>
        <w:gridCol w:w="1502"/>
        <w:gridCol w:w="908"/>
        <w:gridCol w:w="998"/>
        <w:gridCol w:w="1172"/>
        <w:gridCol w:w="998"/>
        <w:gridCol w:w="1582"/>
        <w:gridCol w:w="912"/>
      </w:tblGrid>
      <w:tr>
        <w:trPr>
          <w:tblHeader/>
          <w:cantSplit/>
        </w:trPr>
        <w:tc>
          <w:tcPr>
            <w:tcW w:w="1340" w:type="dxa"/>
          </w:tcPr>
          <w:p>
            <w:pPr/>
          </w:p>
        </w:tc>
        <w:tc>
          <w:tcPr>
            <w:tcW w:w="1502" w:type="dxa"/>
          </w:tcPr>
          <w:p>
            <w:pPr>
              <w:jc w:val="right"/>
            </w:pPr>
            <w:r>
              <w:t xml:space="preserve">Tradicional</w:t>
            </w:r>
          </w:p>
        </w:tc>
        <w:tc>
          <w:tcPr>
            <w:tcW w:w="908" w:type="dxa"/>
          </w:tcPr>
          <w:p>
            <w:pPr>
              <w:jc w:val="right"/>
            </w:pPr>
            <w:r>
              <w:t xml:space="preserve">Con IA</w:t>
            </w:r>
          </w:p>
        </w:tc>
        <w:tc>
          <w:tcPr>
            <w:tcW w:w="998" w:type="dxa"/>
          </w:tcPr>
          <w:p>
            <w:pPr>
              <w:jc w:val="right"/>
            </w:pPr>
            <w:r>
              <w:t xml:space="preserve">Josep</w:t>
            </w:r>
          </w:p>
        </w:tc>
        <w:tc>
          <w:tcPr>
            <w:tcW w:w="1172" w:type="dxa"/>
          </w:tcPr>
          <w:p>
            <w:pPr>
              <w:jc w:val="right"/>
            </w:pPr>
            <w:r>
              <w:t xml:space="preserve">Fátima</w:t>
            </w:r>
          </w:p>
        </w:tc>
        <w:tc>
          <w:tcPr>
            <w:tcW w:w="998" w:type="dxa"/>
          </w:tcPr>
          <w:p>
            <w:pPr>
              <w:jc w:val="right"/>
            </w:pPr>
            <w:r>
              <w:t xml:space="preserve">David</w:t>
            </w:r>
          </w:p>
        </w:tc>
        <w:tc>
          <w:tcPr>
            <w:tcW w:w="1582" w:type="dxa"/>
          </w:tcPr>
          <w:p>
            <w:pPr/>
            <w:r>
              <w:t xml:space="preserve">Directoras</w:t>
            </w:r>
          </w:p>
        </w:tc>
        <w:tc>
          <w:tcPr>
            <w:tcW w:w="912" w:type="dxa"/>
          </w:tcPr>
          <w:p>
            <w:pPr>
              <w:jc w:val="right"/>
            </w:pPr>
            <w:r>
              <w:t xml:space="preserve">IT</w:t>
            </w:r>
          </w:p>
        </w:tc>
      </w:tr>
      <w:tr>
        <w:trPr>
          <w:cantSplit/>
        </w:trPr>
        <w:tc>
          <w:tcPr>
            <w:tcW w:w="1340" w:type="dxa"/>
          </w:tcPr>
          <w:p>
            <w:pPr/>
            <w:r>
              <w:t xml:space="preserve">Prioridad 1</w:t>
            </w:r>
          </w:p>
        </w:tc>
        <w:tc>
          <w:tcPr>
            <w:tcW w:w="1502" w:type="dxa"/>
          </w:tcPr>
          <w:p>
            <w:pPr>
              <w:jc w:val="right"/>
            </w:pPr>
            <w:r>
              <w:t xml:space="preserve">132,5</w:t>
            </w:r>
          </w:p>
        </w:tc>
        <w:tc>
          <w:tcPr>
            <w:tcW w:w="908" w:type="dxa"/>
          </w:tcPr>
          <w:p>
            <w:pPr>
              <w:jc w:val="right"/>
            </w:pPr>
            <w:r>
              <w:t xml:space="preserve">67,1</w:t>
            </w:r>
          </w:p>
        </w:tc>
        <w:tc>
          <w:tcPr>
            <w:tcW w:w="998" w:type="dxa"/>
          </w:tcPr>
          <w:p>
            <w:pPr>
              <w:jc w:val="right"/>
            </w:pPr>
            <w:r>
              <w:t xml:space="preserve">17</w:t>
            </w:r>
          </w:p>
        </w:tc>
        <w:tc>
          <w:tcPr>
            <w:tcW w:w="1172" w:type="dxa"/>
          </w:tcPr>
          <w:p>
            <w:pPr>
              <w:jc w:val="right"/>
            </w:pPr>
            <w:r>
              <w:t xml:space="preserve">18,5</w:t>
            </w:r>
          </w:p>
        </w:tc>
        <w:tc>
          <w:tcPr>
            <w:tcW w:w="998" w:type="dxa"/>
          </w:tcPr>
          <w:p>
            <w:pPr>
              <w:jc w:val="right"/>
            </w:pPr>
            <w:r>
              <w:t xml:space="preserve">5</w:t>
            </w:r>
          </w:p>
        </w:tc>
        <w:tc>
          <w:tcPr>
            <w:tcW w:w="1582" w:type="dxa"/>
          </w:tcPr>
          <w:p>
            <w:pPr/>
            <w:r>
              <w:t xml:space="preserve">0</w:t>
            </w:r>
          </w:p>
        </w:tc>
        <w:tc>
          <w:tcPr>
            <w:tcW w:w="912" w:type="dxa"/>
          </w:tcPr>
          <w:p>
            <w:pPr>
              <w:jc w:val="right"/>
            </w:pPr>
            <w:r>
              <w:t xml:space="preserve">0,5</w:t>
            </w:r>
          </w:p>
        </w:tc>
      </w:tr>
      <w:tr>
        <w:trPr>
          <w:cantSplit/>
        </w:trPr>
        <w:tc>
          <w:tcPr>
            <w:tcW w:w="1340" w:type="dxa"/>
          </w:tcPr>
          <w:p>
            <w:pPr/>
            <w:r>
              <w:t xml:space="preserve">Prioridad 2</w:t>
            </w:r>
          </w:p>
        </w:tc>
        <w:tc>
          <w:tcPr>
            <w:tcW w:w="1502" w:type="dxa"/>
          </w:tcPr>
          <w:p>
            <w:pPr>
              <w:jc w:val="right"/>
            </w:pPr>
            <w:r>
              <w:t xml:space="preserve">21</w:t>
            </w:r>
          </w:p>
        </w:tc>
        <w:tc>
          <w:tcPr>
            <w:tcW w:w="908" w:type="dxa"/>
          </w:tcPr>
          <w:p>
            <w:pPr>
              <w:jc w:val="right"/>
            </w:pPr>
            <w:r>
              <w:t xml:space="preserve">10,3</w:t>
            </w:r>
          </w:p>
        </w:tc>
        <w:tc>
          <w:tcPr>
            <w:tcW w:w="998" w:type="dxa"/>
          </w:tcPr>
          <w:p>
            <w:pPr>
              <w:jc w:val="right"/>
            </w:pPr>
            <w:r>
              <w:t xml:space="preserve">3</w:t>
            </w:r>
          </w:p>
        </w:tc>
        <w:tc>
          <w:tcPr>
            <w:tcW w:w="1172" w:type="dxa"/>
          </w:tcPr>
          <w:p>
            <w:pPr>
              <w:jc w:val="right"/>
            </w:pPr>
            <w:r>
              <w:t xml:space="preserve">2,5</w:t>
            </w:r>
          </w:p>
        </w:tc>
        <w:tc>
          <w:tcPr>
            <w:tcW w:w="998" w:type="dxa"/>
          </w:tcPr>
          <w:p>
            <w:pPr>
              <w:jc w:val="right"/>
            </w:pPr>
            <w:r>
              <w:t xml:space="preserve">0</w:t>
            </w:r>
          </w:p>
        </w:tc>
        <w:tc>
          <w:tcPr>
            <w:tcW w:w="1582" w:type="dxa"/>
          </w:tcPr>
          <w:p>
            <w:pPr/>
            <w:r>
              <w:t xml:space="preserve">0,5 cada una</w:t>
            </w:r>
          </w:p>
        </w:tc>
        <w:tc>
          <w:tcPr>
            <w:tcW w:w="912" w:type="dxa"/>
          </w:tcPr>
          <w:p>
            <w:pPr>
              <w:jc w:val="right"/>
            </w:pPr>
            <w:r>
              <w:t xml:space="preserve">0</w:t>
            </w:r>
          </w:p>
        </w:tc>
      </w:tr>
      <w:tr>
        <w:trPr>
          <w:cantSplit/>
        </w:trPr>
        <w:tc>
          <w:tcPr>
            <w:tcW w:w="1340" w:type="dxa"/>
          </w:tcPr>
          <w:p>
            <w:pPr/>
            <w:r>
              <w:t xml:space="preserve">Total</w:t>
            </w:r>
          </w:p>
        </w:tc>
        <w:tc>
          <w:tcPr>
            <w:tcW w:w="1502" w:type="dxa"/>
          </w:tcPr>
          <w:p>
            <w:pPr>
              <w:jc w:val="right"/>
            </w:pPr>
            <w:r>
              <w:t xml:space="preserve">153,5</w:t>
            </w:r>
          </w:p>
        </w:tc>
        <w:tc>
          <w:tcPr>
            <w:tcW w:w="908" w:type="dxa"/>
          </w:tcPr>
          <w:p>
            <w:pPr>
              <w:jc w:val="right"/>
            </w:pPr>
            <w:r>
              <w:t xml:space="preserve">77,4</w:t>
            </w:r>
          </w:p>
        </w:tc>
        <w:tc>
          <w:tcPr>
            <w:tcW w:w="998" w:type="dxa"/>
          </w:tcPr>
          <w:p>
            <w:pPr>
              <w:jc w:val="right"/>
            </w:pPr>
            <w:r>
              <w:t xml:space="preserve">20</w:t>
            </w:r>
          </w:p>
        </w:tc>
        <w:tc>
          <w:tcPr>
            <w:tcW w:w="1172" w:type="dxa"/>
          </w:tcPr>
          <w:p>
            <w:pPr>
              <w:jc w:val="right"/>
            </w:pPr>
            <w:r>
              <w:t xml:space="preserve">21</w:t>
            </w:r>
          </w:p>
        </w:tc>
        <w:tc>
          <w:tcPr>
            <w:tcW w:w="998" w:type="dxa"/>
          </w:tcPr>
          <w:p>
            <w:pPr>
              <w:jc w:val="right"/>
            </w:pPr>
            <w:r>
              <w:t xml:space="preserve">5</w:t>
            </w:r>
          </w:p>
        </w:tc>
        <w:tc>
          <w:tcPr>
            <w:tcW w:w="1582" w:type="dxa"/>
          </w:tcPr>
          <w:p>
            <w:pPr/>
            <w:r>
              <w:t xml:space="preserve">0,5 cada una</w:t>
            </w:r>
          </w:p>
        </w:tc>
        <w:tc>
          <w:tcPr>
            <w:tcW w:w="912" w:type="dxa"/>
          </w:tcPr>
          <w:p>
            <w:pPr>
              <w:jc w:val="right"/>
            </w:pPr>
            <w:r>
              <w:t xml:space="preserve">0,5</w:t>
            </w:r>
          </w:p>
        </w:tc>
      </w:tr>
    </w:tbl>
    <w:p>
      <w:pPr>
        <w:pStyle w:val="ListBullet"/>
      </w:pPr>
      <w:r>
        <w:rPr>
          <w:rStyle w:val="nfasis"/>
        </w:rPr>
        <w:t xml:space="preserve">Sin incluir:</w:t>
      </w:r>
      <w:r>
        <w:t xml:space="preserve"> el concepto 16 (sin formato nuevo no se puede estimar) y la operación recurrente de Tinkle, que es subir los ficheros de cada cierre (unas 0,5 jornadas de Josep por cierre).</w:t>
      </w:r>
    </w:p>
    <w:p>
      <w:pPr>
        <w:pStyle w:val="ListBullet"/>
      </w:pPr>
      <w:r>
        <w:rPr>
          <w:rStyle w:val="nfasis"/>
        </w:rPr>
        <w:t xml:space="preserve">Contingencia:</w:t>
      </w:r>
      <w:r>
        <w:t xml:space="preserve"> conviene sumar un 15 %. Con ella, la prioridad 1 queda en unas 152 jornadas de Docenteo de forma tradicional y en unas 77 con IA.</w:t>
      </w:r>
    </w:p>
    <w:p>
      <w:pPr>
        <w:pStyle w:val="ListBullet"/>
      </w:pPr>
      <w:r>
        <w:rPr>
          <w:rStyle w:val="nfasis"/>
        </w:rPr>
        <w:t xml:space="preserve">Capacidad hasta finales de enero:</w:t>
      </w:r>
      <w:r>
        <w:t xml:space="preserve"> quedan unas 13 semanas, unas 11 descontando Navidad, que son unas 55 jornadas por persona.</w:t>
      </w:r>
    </w:p>
    <w:p>
      <w:pPr>
        <w:pStyle w:val="ListBullet"/>
        <w:numPr>
          <w:ilvl w:val="1"/>
          <w:numId w:val="2"/>
        </w:numPr>
      </w:pPr>
      <w:r>
        <w:t xml:space="preserve">Tradicional: la prioridad 1 con contingencia necesita unas 2,8 personas a tiempo completo. Con 2 personas no se llega a enero salvo que el presupuesto (conceptos 20 y 21) pase a febrero.</w:t>
      </w:r>
    </w:p>
    <w:p>
      <w:pPr>
        <w:pStyle w:val="ListBullet"/>
        <w:numPr>
          <w:ilvl w:val="1"/>
          <w:numId w:val="2"/>
        </w:numPr>
      </w:pPr>
      <w:r>
        <w:t xml:space="preserve">Con IA: unas 1,4 personas, es decir, una persona a tiempo completo y apoyo puntual de otra. Con dos personas cabe todo, incluida la prioridad 2 (unas 1,6 personas con contingencia).</w:t>
      </w:r>
    </w:p>
    <w:p>
      <w:pPr>
        <w:pStyle w:val="ListBullet"/>
      </w:pPr>
      <w:r>
        <w:rPr>
          <w:rStyle w:val="nfasis"/>
        </w:rPr>
        <w:t xml:space="preserve">Lado de Tinkle:</w:t>
      </w:r>
      <w:r>
        <w:t xml:space="preserve"> unas 20 jornadas de Josep y 21 de Fátima en 13 semanas, es decir, algo más de 1,5 días por semana cada uno. Es el compromiso que hay que pedir de forma explícita, junto con las decisiones de David.</w:t>
      </w:r>
    </w:p>
    <w:p>
      <w:pPr>
        <w:pStyle w:val="ListBullet"/>
      </w:pPr>
      <w:r>
        <w:rPr>
          <w:rStyle w:val="nfasis"/>
        </w:rPr>
        <w:t xml:space="preserve">Camino crítico:</w:t>
      </w:r>
      <w:r>
        <w:t xml:space="preserve"> con IA ya no lo marcan las horas de Docenteo, sino la disponibilidad de Josep y Fátima, las decisiones de David (sección 6) y el calendario de los cierres de octubre, noviembre y diciembre.</w:t>
      </w:r>
    </w:p>
    <w:p>
      <w:pPr>
        <w:pStyle w:val="Heading1"/>
      </w:pPr>
      <w:r>
        <w:t xml:space="preserve">Resumen de hallazgos</w:t>
      </w:r>
    </w:p>
    <w:p>
      <w:pPr>
        <w:pStyle w:val="ListNumber"/>
        <w:numPr>
          <w:ilvl w:val="0"/>
          <w:numId w:val="100"/>
        </w:numPr>
      </w:pPr>
      <w:r>
        <w:rPr>
          <w:rStyle w:val="nfasis"/>
        </w:rPr>
        <w:t xml:space="preserve">La herramienta está parada desde el cierre de marzo de 2026.</w:t>
      </w:r>
      <w:r>
        <w:t xml:space="preserve"> Los datos reales llegan hasta marzo (Oracle y Portugal) y HAPA solo tiene enero. Desde abril no se ha cargado ningún cierre: son siete cierres sin cargar (abril a octubre). Los ficheros de Grupo solo se han generado para marzo, en pruebas de julio y agosto. Lo que Tinkle ha visto en las presentaciones es, por tanto, una herramienta con datos de hace siete meses.</w:t>
      </w:r>
    </w:p>
    <w:p>
      <w:pPr>
        <w:pStyle w:val="ListNumber"/>
        <w:numPr>
          <w:ilvl w:val="0"/>
          <w:numId w:val="100"/>
        </w:numPr>
      </w:pPr>
      <w:r>
        <w:rPr>
          <w:rStyle w:val="nfasis"/>
        </w:rPr>
        <w:t xml:space="preserve">Hay más construido de lo que Tinkle ha visto, pero nada está validado ni en uso.</w:t>
      </w:r>
      <w:r>
        <w:t xml:space="preserve"> Existen la comparativa del real con el presupuesto, el informe de rentabilidad por cliente y centro de coste, los agings y los TXT de Balance y Saldos 4_7. Sin embargo, se alimentan de cargas iniciales únicas o están a medias, y no se han revisado con Tinkle.</w:t>
      </w:r>
    </w:p>
    <w:p>
      <w:pPr>
        <w:pStyle w:val="ListNumber"/>
        <w:numPr>
          <w:ilvl w:val="0"/>
          <w:numId w:val="100"/>
        </w:numPr>
      </w:pPr>
      <w:r>
        <w:rPr>
          <w:rStyle w:val="nfasis"/>
        </w:rPr>
        <w:t xml:space="preserve">Faltan piezas que Tinkle considera el valor del proyecto:</w:t>
      </w:r>
      <w:r>
        <w:t xml:space="preserve"> la confección del presupuesto, el reparto de gastos de personal, cinco de los siete tipos de ficheros de Grupo, los accesos por usuario y los controles de veracidad.</w:t>
      </w:r>
    </w:p>
    <w:p>
      <w:pPr>
        <w:pStyle w:val="ListNumber"/>
        <w:numPr>
          <w:ilvl w:val="0"/>
          <w:numId w:val="100"/>
        </w:numPr>
      </w:pPr>
      <w:r>
        <w:rPr>
          <w:rStyle w:val="nfasis"/>
        </w:rPr>
        <w:t xml:space="preserve">El bloqueo principal es de definición, no técnico.</w:t>
      </w:r>
      <w:r>
        <w:t xml:space="preserve"> De los 226 puntos del registro, 155 no tienen responsable. Las decisiones que desbloquean el presupuesto, el reparto de personal y la rentabilidad por directora están en manos de Tinkle (sobre todo de David Marin) y llevan abiertas desde mayo.</w:t>
      </w:r>
    </w:p>
    <w:p>
      <w:pPr>
        <w:pStyle w:val="ListNumber"/>
        <w:numPr>
          <w:ilvl w:val="0"/>
          <w:numId w:val="100"/>
        </w:numPr>
      </w:pPr>
      <w:r>
        <w:rPr>
          <w:rStyle w:val="nfasis"/>
        </w:rPr>
        <w:t xml:space="preserve">Hay riesgos que el correo no menciona y que conviene resolver antes de abrir la herramienta a más gente:</w:t>
      </w:r>
    </w:p>
    <w:p>
      <w:pPr>
        <w:pStyle w:val="ListBullet"/>
        <w:numPr>
          <w:ilvl w:val="1"/>
          <w:numId w:val="2"/>
        </w:numPr>
      </w:pPr>
      <w:r>
        <w:t xml:space="preserve">Ningún modelo tiene seguridad por usuario, así que los datos salariales son visibles para cualquiera con acceso a los informes.</w:t>
      </w:r>
    </w:p>
    <w:p>
      <w:pPr>
        <w:pStyle w:val="ListBullet"/>
        <w:numPr>
          <w:ilvl w:val="1"/>
          <w:numId w:val="2"/>
        </w:numPr>
      </w:pPr>
      <w:r>
        <w:t xml:space="preserve">Las funciones de usuario tienen un secreto en el código.</w:t>
      </w:r>
    </w:p>
    <w:p>
      <w:pPr>
        <w:pStyle w:val="ListBullet"/>
        <w:numPr>
          <w:ilvl w:val="1"/>
          <w:numId w:val="2"/>
        </w:numPr>
      </w:pPr>
      <w:r>
        <w:t xml:space="preserve">La entrada de ficheros depende de un OneDrive personal.</w:t>
      </w:r>
    </w:p>
    <w:p>
      <w:pPr>
        <w:pStyle w:val="ListNumber"/>
        <w:numPr>
          <w:ilvl w:val="0"/>
          <w:numId w:val="100"/>
        </w:numPr>
      </w:pPr>
      <w:r>
        <w:rPr>
          <w:rStyle w:val="nfasis"/>
        </w:rPr>
        <w:t xml:space="preserve">Plazo:</w:t>
      </w:r>
      <w:r>
        <w:t xml:space="preserve"> hasta finales de enero quedan unas 11 semanas efectivas. Caben tres cierres reales (octubre, noviembre y diciembre), que son la mejor ocasión para validar la herramienta en paralelo con el Excel. Para el presupuesto, el objetivo realista es el FT3 de 2027 (abril), porque según el calendario de Tinkle el presupuesto del año siguiente se prepara en septiembre (falta confirmar que el de 2027 ya está hecho).</w:t>
      </w:r>
    </w:p>
    <w:p>
      <w:pPr>
        <w:pStyle w:val="Heading1"/>
      </w:pPr>
      <w:r>
        <w:t xml:space="preserve">Estado real de la herramienta (medido el 27 y 28/10/2026)</w:t>
      </w:r>
    </w:p>
    <w:tbl>
      <w:tblPr>
        <w:tblStyle w:val="TablaDocenteo"/>
        <w:tblW w:w="9412" w:type="dxa"/>
        <w:tblLayout w:type="fixed"/>
        <w:tblLook w:val="0420" w:firstRow="1" w:lastRow="0" w:firstColumn="0" w:lastColumn="0" w:noHBand="1" w:noVBand="1"/>
      </w:tblPr>
      <w:tblGrid>
        <w:gridCol w:w="2039"/>
        <w:gridCol w:w="4108"/>
        <w:gridCol w:w="3265"/>
      </w:tblGrid>
      <w:tr>
        <w:trPr>
          <w:tblHeader/>
          <w:cantSplit/>
        </w:trPr>
        <w:tc>
          <w:tcPr>
            <w:tcW w:w="2039" w:type="dxa"/>
          </w:tcPr>
          <w:p>
            <w:pPr/>
            <w:r>
              <w:t xml:space="preserve">Elemento</w:t>
            </w:r>
          </w:p>
        </w:tc>
        <w:tc>
          <w:tcPr>
            <w:tcW w:w="4108" w:type="dxa"/>
          </w:tcPr>
          <w:p>
            <w:pPr/>
            <w:r>
              <w:t xml:space="preserve">Estado</w:t>
            </w:r>
          </w:p>
        </w:tc>
        <w:tc>
          <w:tcPr>
            <w:tcW w:w="3265" w:type="dxa"/>
          </w:tcPr>
          <w:p>
            <w:pPr/>
            <w:r>
              <w:t xml:space="preserve">Evidencia</w:t>
            </w:r>
          </w:p>
        </w:tc>
      </w:tr>
      <w:tr>
        <w:trPr>
          <w:cantSplit/>
        </w:trPr>
        <w:tc>
          <w:tcPr>
            <w:tcW w:w="2039" w:type="dxa"/>
          </w:tcPr>
          <w:p>
            <w:pPr/>
            <w:r>
              <w:t xml:space="preserve">Real contable de Oracle</w:t>
            </w:r>
          </w:p>
        </w:tc>
        <w:tc>
          <w:tcPr>
            <w:tcW w:w="4108" w:type="dxa"/>
          </w:tcPr>
          <w:p>
            <w:pPr/>
            <w:r>
              <w:t xml:space="preserve">Diciembre de 2025 a marzo de 2026</w:t>
            </w:r>
          </w:p>
        </w:tc>
        <w:tc>
          <w:tcPr>
            <w:tcW w:w="3265" w:type="dxa"/>
          </w:tcPr>
          <w:p>
            <w:pPr/>
            <w:r>
              <w:t xml:space="preserve">300.Fact_Actuals, origen ORACLE</w:t>
            </w:r>
          </w:p>
        </w:tc>
      </w:tr>
      <w:tr>
        <w:trPr>
          <w:cantSplit/>
        </w:trPr>
        <w:tc>
          <w:tcPr>
            <w:tcW w:w="2039" w:type="dxa"/>
          </w:tcPr>
          <w:p>
            <w:pPr/>
            <w:r>
              <w:t xml:space="preserve">Real de Portugal</w:t>
            </w:r>
          </w:p>
        </w:tc>
        <w:tc>
          <w:tcPr>
            <w:tcW w:w="4108" w:type="dxa"/>
          </w:tcPr>
          <w:p>
            <w:pPr/>
            <w:r>
              <w:t xml:space="preserve">Enero a marzo de 2026</w:t>
            </w:r>
          </w:p>
        </w:tc>
        <w:tc>
          <w:tcPr>
            <w:tcW w:w="3265" w:type="dxa"/>
          </w:tcPr>
          <w:p>
            <w:pPr/>
            <w:r>
              <w:t xml:space="preserve">300.Fact_Actuals, origen PT</w:t>
            </w:r>
          </w:p>
        </w:tc>
      </w:tr>
      <w:tr>
        <w:trPr>
          <w:cantSplit/>
        </w:trPr>
        <w:tc>
          <w:tcPr>
            <w:tcW w:w="2039" w:type="dxa"/>
          </w:tcPr>
          <w:p>
            <w:pPr/>
            <w:r>
              <w:t xml:space="preserve">Real de HAPA</w:t>
            </w:r>
          </w:p>
        </w:tc>
        <w:tc>
          <w:tcPr>
            <w:tcW w:w="4108" w:type="dxa"/>
          </w:tcPr>
          <w:p>
            <w:pPr/>
            <w:r>
              <w:t xml:space="preserve">Solo enero de 2026 (103 movimientos)</w:t>
            </w:r>
          </w:p>
        </w:tc>
        <w:tc>
          <w:tcPr>
            <w:tcW w:w="3265" w:type="dxa"/>
          </w:tcPr>
          <w:p>
            <w:pPr/>
            <w:r>
              <w:t xml:space="preserve">300.Fact_Actuals, origen HAPA</w:t>
            </w:r>
          </w:p>
        </w:tc>
      </w:tr>
      <w:tr>
        <w:trPr>
          <w:cantSplit/>
        </w:trPr>
        <w:tc>
          <w:tcPr>
            <w:tcW w:w="2039" w:type="dxa"/>
          </w:tcPr>
          <w:p>
            <w:pPr/>
            <w:r>
              <w:t xml:space="preserve">Agings</w:t>
            </w:r>
          </w:p>
        </w:tc>
        <w:tc>
          <w:tcPr>
            <w:tcW w:w="4108" w:type="dxa"/>
          </w:tcPr>
          <w:p>
            <w:pPr/>
            <w:r>
              <w:t xml:space="preserve">Última factura de clientes del 23/03/2026; 815 facturas de clientes y 708 de proveedores</w:t>
            </w:r>
          </w:p>
        </w:tc>
        <w:tc>
          <w:tcPr>
            <w:tcW w:w="3265" w:type="dxa"/>
          </w:tcPr>
          <w:p>
            <w:pPr/>
            <w:r>
              <w:t xml:space="preserve">200.Aging_Clientes, 200.Aging_Proveedores</w:t>
            </w:r>
          </w:p>
        </w:tc>
      </w:tr>
      <w:tr>
        <w:trPr>
          <w:cantSplit/>
        </w:trPr>
        <w:tc>
          <w:tcPr>
            <w:tcW w:w="2039" w:type="dxa"/>
          </w:tcPr>
          <w:p>
            <w:pPr/>
            <w:r>
              <w:t xml:space="preserve">Presupuesto</w:t>
            </w:r>
          </w:p>
        </w:tc>
        <w:tc>
          <w:tcPr>
            <w:tcW w:w="4108" w:type="dxa"/>
          </w:tcPr>
          <w:p>
            <w:pPr/>
            <w:r>
              <w:t xml:space="preserve">B1 2026 y FT3 2026 cargados. El FT8 que hay es el de 2025; no está el FT8 de 2026</w:t>
            </w:r>
          </w:p>
        </w:tc>
        <w:tc>
          <w:tcPr>
            <w:tcW w:w="3265" w:type="dxa"/>
          </w:tcPr>
          <w:p>
            <w:pPr/>
            <w:r>
              <w:t xml:space="preserve">200.Presupuestos</w:t>
            </w:r>
          </w:p>
        </w:tc>
      </w:tr>
      <w:tr>
        <w:trPr>
          <w:cantSplit/>
        </w:trPr>
        <w:tc>
          <w:tcPr>
            <w:tcW w:w="2039" w:type="dxa"/>
          </w:tcPr>
          <w:p>
            <w:pPr/>
            <w:r>
              <w:t xml:space="preserve">MMS</w:t>
            </w:r>
          </w:p>
        </w:tc>
        <w:tc>
          <w:tcPr>
            <w:tcW w:w="4108" w:type="dxa"/>
          </w:tcPr>
          <w:p>
            <w:pPr/>
            <w:r>
              <w:t xml:space="preserve">Periodos hasta diciembre de 2026 (incluye previsión)</w:t>
            </w:r>
          </w:p>
        </w:tc>
        <w:tc>
          <w:tcPr>
            <w:tcW w:w="3265" w:type="dxa"/>
          </w:tcPr>
          <w:p>
            <w:pPr/>
            <w:r>
              <w:t xml:space="preserve">200.MMS</w:t>
            </w:r>
          </w:p>
        </w:tc>
      </w:tr>
      <w:tr>
        <w:trPr>
          <w:cantSplit/>
        </w:trPr>
        <w:tc>
          <w:tcPr>
            <w:tcW w:w="2039" w:type="dxa"/>
          </w:tcPr>
          <w:p>
            <w:pPr/>
            <w:r>
              <w:t xml:space="preserve">Dedicaciones</w:t>
            </w:r>
          </w:p>
        </w:tc>
        <w:tc>
          <w:tcPr>
            <w:tcW w:w="4108" w:type="dxa"/>
          </w:tcPr>
          <w:p>
            <w:pPr/>
            <w:r>
              <w:t xml:space="preserve">Carga inicial única: 373 asignaciones en 12 equipos</w:t>
            </w:r>
          </w:p>
        </w:tc>
        <w:tc>
          <w:tcPr>
            <w:tcW w:w="3265" w:type="dxa"/>
          </w:tcPr>
          <w:p>
            <w:pPr/>
            <w:r>
              <w:t xml:space="preserve">300.Fact_Asignacion_RRHH</w:t>
            </w:r>
          </w:p>
        </w:tc>
      </w:tr>
      <w:tr>
        <w:trPr>
          <w:cantSplit/>
        </w:trPr>
        <w:tc>
          <w:tcPr>
            <w:tcW w:w="2039" w:type="dxa"/>
          </w:tcPr>
          <w:p>
            <w:pPr/>
            <w:r>
              <w:t xml:space="preserve">Ficheros de Grupo</w:t>
            </w:r>
          </w:p>
        </w:tc>
        <w:tc>
          <w:tcPr>
            <w:tcW w:w="4108" w:type="dxa"/>
          </w:tcPr>
          <w:p>
            <w:pPr/>
            <w:r>
              <w:t xml:space="preserve">Solo marzo de 2026, solo Balance y Saldos 4_7, solo las cinco sociedades españolas. Generados en pruebas del 20/07 al 21/08</w:t>
            </w:r>
          </w:p>
        </w:tc>
        <w:tc>
          <w:tcPr>
            <w:tcW w:w="3265" w:type="dxa"/>
          </w:tcPr>
          <w:p>
            <w:pPr/>
            <w:r>
              <w:t xml:space="preserve">OneLake Files/Exportaciones/Balance/2026.03</w:t>
            </w:r>
          </w:p>
        </w:tc>
      </w:tr>
      <w:tr>
        <w:trPr>
          <w:cantSplit/>
        </w:trPr>
        <w:tc>
          <w:tcPr>
            <w:tcW w:w="2039" w:type="dxa"/>
          </w:tcPr>
          <w:p>
            <w:pPr/>
            <w:r>
              <w:t xml:space="preserve">Ejecuciones</w:t>
            </w:r>
          </w:p>
        </w:tc>
        <w:tc>
          <w:tcPr>
            <w:tcW w:w="4108" w:type="dxa"/>
          </w:tcPr>
          <w:p>
            <w:pPr/>
            <w:r>
              <w:t xml:space="preserve">La API no devuelve ninguna ejecución reciente de Generar Reporting, Grabar salidas, INGESTA_Carga_Datos ni INGESTA_Maestros</w:t>
            </w:r>
          </w:p>
        </w:tc>
        <w:tc>
          <w:tcPr>
            <w:tcW w:w="3265" w:type="dxa"/>
          </w:tcPr>
          <w:p>
            <w:pPr/>
            <w:r>
              <w:t xml:space="preserve">API de trabajos de Fabric</w:t>
            </w:r>
          </w:p>
        </w:tc>
      </w:tr>
      <w:tr>
        <w:trPr>
          <w:cantSplit/>
        </w:trPr>
        <w:tc>
          <w:tcPr>
            <w:tcW w:w="2039" w:type="dxa"/>
          </w:tcPr>
          <w:p>
            <w:pPr/>
            <w:r>
              <w:t xml:space="preserve">Capacidad</w:t>
            </w:r>
          </w:p>
        </w:tc>
        <w:tc>
          <w:tcPr>
            <w:tcW w:w="4108" w:type="dxa"/>
          </w:tcPr>
          <w:p>
            <w:pPr/>
            <w:r>
              <w:t xml:space="preserve">Ya no es la de prueba de septiembre; tipo sin confirmar</w:t>
            </w:r>
          </w:p>
        </w:tc>
        <w:tc>
          <w:tcPr>
            <w:tcW w:w="3265" w:type="dxa"/>
          </w:tcPr>
          <w:p>
            <w:pPr/>
            <w:r>
              <w:t xml:space="preserve">Documento técnico, sección 11.2</w:t>
            </w:r>
          </w:p>
        </w:tc>
      </w:tr>
      <w:tr>
        <w:trPr>
          <w:cantSplit/>
        </w:trPr>
        <w:tc>
          <w:tcPr>
            <w:tcW w:w="2039" w:type="dxa"/>
          </w:tcPr>
          <w:p>
            <w:pPr/>
            <w:r>
              <w:t xml:space="preserve">Uso</w:t>
            </w:r>
          </w:p>
        </w:tc>
        <w:tc>
          <w:tcPr>
            <w:tcW w:w="4108" w:type="dxa"/>
          </w:tcPr>
          <w:p>
            <w:pPr/>
            <w:r>
              <w:t xml:space="preserve">Alguien abrió las métricas de uso de un informe entre el 26 y el 28/10 (Power BI creó sus items automáticamente)</w:t>
            </w:r>
          </w:p>
        </w:tc>
        <w:tc>
          <w:tcPr>
            <w:tcW w:w="3265" w:type="dxa"/>
          </w:tcPr>
          <w:p>
            <w:pPr/>
            <w:r>
              <w:t xml:space="preserve">Inventario del workspace</w:t>
            </w:r>
          </w:p>
        </w:tc>
      </w:tr>
    </w:tbl>
    <w:p>
      <w:pPr/>
      <w:r>
        <w:t xml:space="preserve">Informes existentes: Checklist (Oracle), HAPA, Agings, MMS, Presupuesto y Rentabilidad, publicados en la app "Tinkle - Financiero". Hojas de Planning: Revenue FT3, Revenue FT8 y Dedicaciones, pendientes de validación según el manual funcional.</w:t>
      </w:r>
    </w:p>
    <w:p>
      <w:pPr>
        <w:pStyle w:val="Heading1"/>
      </w:pPr>
      <w:r>
        <w:t xml:space="preserve">Respuesta punto por punto al correo de Tinkle</w:t>
      </w:r>
    </w:p>
    <w:p>
      <w:pPr>
        <w:pStyle w:val="Heading2"/>
      </w:pPr>
      <w:r>
        <w:t xml:space="preserve">Carga de información (conceptos 1 a 3)</w:t>
      </w:r>
    </w:p>
    <w:p>
      <w:pPr>
        <w:pStyle w:val="ListBullet"/>
      </w:pPr>
      <w:r>
        <w:rPr>
          <w:rStyle w:val="nfasis"/>
        </w:rPr>
        <w:t xml:space="preserve">Lo que dice Tinkle:</w:t>
      </w:r>
      <w:r>
        <w:t xml:space="preserve"> cargar en una carpeta en vez de en una pestaña es la misma tarea; no ahorra tiempo.</w:t>
      </w:r>
    </w:p>
    <w:p>
      <w:pPr>
        <w:pStyle w:val="ListBullet"/>
      </w:pPr>
      <w:r>
        <w:rPr>
          <w:rStyle w:val="nfasis"/>
        </w:rPr>
        <w:t xml:space="preserve">Situación:</w:t>
      </w:r>
      <w:r>
        <w:t xml:space="preserve"> es cierto. Todas las fuentes llegan como ficheros que alguien deposita a mano en 1. Entrada de Datos (documento técnico, sección 3). No hay conexión con Oracle, Databox, MMS ni la gestoría de Portugal. Además, el flujo de ficheros no está definido: qué fichero, de qué sistema, en qué formato, quién lo sube y cuándo (notas de la reunión; P-016, P-214, P-215, P-216).</w:t>
      </w:r>
    </w:p>
    <w:p>
      <w:pPr>
        <w:pStyle w:val="ListBullet"/>
      </w:pPr>
      <w:r>
        <w:rPr>
          <w:rStyle w:val="nfasis"/>
        </w:rPr>
        <w:t xml:space="preserve">Qué falta:</w:t>
      </w:r>
    </w:p>
    <w:p>
      <w:pPr>
        <w:pStyle w:val="ListNumber"/>
        <w:numPr>
          <w:ilvl w:val="1"/>
          <w:numId w:val="101"/>
        </w:numPr>
      </w:pPr>
      <w:r>
        <w:t xml:space="preserve">Un procedimiento de carga escrito: lista cerrada de ficheros por cierre con origen, formato bruto sin retocar (P-016), carpeta definitiva (P-214) y responsable.</w:t>
      </w:r>
    </w:p>
    <w:p>
      <w:pPr>
        <w:pStyle w:val="ListNumber"/>
        <w:numPr>
          <w:ilvl w:val="1"/>
          <w:numId w:val="101"/>
        </w:numPr>
      </w:pPr>
      <w:r>
        <w:t xml:space="preserve">Valorar la automatización real: exportación programada de Databox o de Oracle (P-202, depende de IT del Grupo), lectura directa de MMS, y que el modelo haga el formato que hoy se hace a mano (ordenar, separador de miles, quitar totales).</w:t>
      </w:r>
    </w:p>
    <w:p>
      <w:pPr>
        <w:pStyle w:val="ListNumber"/>
        <w:numPr>
          <w:ilvl w:val="1"/>
          <w:numId w:val="101"/>
        </w:numPr>
      </w:pPr>
      <w:r>
        <w:t xml:space="preserve">Mover la carpeta de entrada del OneDrive personal de la cuenta de reporting a un sitio de equipo (S6).</w:t>
      </w:r>
    </w:p>
    <w:p>
      <w:pPr>
        <w:pStyle w:val="ListBullet"/>
      </w:pPr>
      <w:r>
        <w:rPr>
          <w:rStyle w:val="nfasis"/>
        </w:rPr>
        <w:t xml:space="preserve">Valoración de Docenteo:</w:t>
      </w:r>
      <w:r>
        <w:t xml:space="preserve"> el ahorro no estará en la carga, sino en lo que viene después: cuadres automáticos, ficheros de Grupo sin macros ni IT, comparativas y rentabilidad sin tocar el Excel. Hay que decirlo así y medirlo en un cierre real.</w:t>
      </w:r>
    </w:p>
    <w:p>
      <w:pPr>
        <w:pStyle w:val="Heading2"/>
      </w:pPr>
      <w:r>
        <w:t xml:space="preserve">Análisis de información (conceptos 4 a 9 y 24)</w:t>
      </w:r>
    </w:p>
    <w:p>
      <w:pPr>
        <w:pStyle w:val="ListBullet"/>
      </w:pPr>
      <w:r>
        <w:rPr>
          <w:rStyle w:val="nfasis"/>
        </w:rPr>
        <w:t xml:space="preserve">Lo que dice Tinkle:</w:t>
      </w:r>
      <w:r>
        <w:t xml:space="preserve"> se han visto el balance y el P&amp;L, pero no la comparativa con presupuestos ni la rentabilidad por cliente y centro de coste.</w:t>
      </w:r>
    </w:p>
    <w:p>
      <w:pPr>
        <w:pStyle w:val="ListBullet"/>
      </w:pPr>
      <w:r>
        <w:rPr>
          <w:rStyle w:val="nfasis"/>
        </w:rPr>
        <w:t xml:space="preserve">Situación:</w:t>
      </w:r>
    </w:p>
    <w:p>
      <w:pPr>
        <w:pStyle w:val="ListBullet"/>
        <w:numPr>
          <w:ilvl w:val="1"/>
          <w:numId w:val="2"/>
        </w:numPr>
      </w:pPr>
      <w:r>
        <w:t xml:space="preserve">La comparativa existe en el informe Checklist (página de P&amp;L, medidas FCT, Budget Reporting Cuentas y DIF_ASOC01_FCT), pero solo con el B1 y el FT3 de 2026 y el real hasta marzo.</w:t>
      </w:r>
    </w:p>
    <w:p>
      <w:pPr>
        <w:pStyle w:val="ListBullet"/>
        <w:numPr>
          <w:ilvl w:val="1"/>
          <w:numId w:val="2"/>
        </w:numPr>
      </w:pPr>
      <w:r>
        <w:t xml:space="preserve">El informe de Rentabilidad existe (cliente, cliente por centro de coste, rentabilidad avanzada y salarios), pero se alimenta de una carga única de dedicaciones y su contribución usa el gross income de MMS, no el real (CONTEXT.md, Contribución).</w:t>
      </w:r>
    </w:p>
    <w:p>
      <w:pPr>
        <w:pStyle w:val="ListBullet"/>
      </w:pPr>
      <w:r>
        <w:rPr>
          <w:rStyle w:val="nfasis"/>
        </w:rPr>
        <w:t xml:space="preserve">Qué falta:</w:t>
      </w:r>
    </w:p>
    <w:p>
      <w:pPr>
        <w:pStyle w:val="ListNumber"/>
        <w:numPr>
          <w:ilvl w:val="1"/>
          <w:numId w:val="102"/>
        </w:numPr>
      </w:pPr>
      <w:r>
        <w:t xml:space="preserve">Cargar los cierres de abril a septiembre y el FT8 de 2026 para enseñar la comparativa con datos actuales.</w:t>
      </w:r>
    </w:p>
    <w:p>
      <w:pPr>
        <w:pStyle w:val="ListNumber"/>
        <w:numPr>
          <w:ilvl w:val="1"/>
          <w:numId w:val="102"/>
        </w:numPr>
      </w:pPr>
      <w:r>
        <w:t xml:space="preserve">Vista mensual y acumulada, comparación con la última edición publicada y selector de edición (P-003, P-004).</w:t>
      </w:r>
    </w:p>
    <w:p>
      <w:pPr>
        <w:pStyle w:val="ListNumber"/>
        <w:numPr>
          <w:ilvl w:val="1"/>
          <w:numId w:val="102"/>
        </w:numPr>
      </w:pPr>
      <w:r>
        <w:t xml:space="preserve">Rentabilidad por cliente y por centro de coste con un proceso mantenido, no una carga única (ver 4.4).</w:t>
      </w:r>
    </w:p>
    <w:p>
      <w:pPr>
        <w:pStyle w:val="ListNumber"/>
        <w:numPr>
          <w:ilvl w:val="1"/>
          <w:numId w:val="102"/>
        </w:numPr>
      </w:pPr>
      <w:r>
        <w:t xml:space="preserve">Desgloses y auxiliares del checklist que aún no tienen página: provisiones 4007, 4009 y 4309, gastos de las cuentas 62 y alquileres, fianzas, intercompany y el resto de la tabla del correo (P-006 a P-012).</w:t>
      </w:r>
    </w:p>
    <w:p>
      <w:pPr>
        <w:pStyle w:val="Heading2"/>
      </w:pPr>
      <w:r>
        <w:t xml:space="preserve">Confección de presupuestos (conceptos 19 a 22)</w:t>
      </w:r>
    </w:p>
    <w:p>
      <w:pPr>
        <w:pStyle w:val="ListBullet"/>
      </w:pPr>
      <w:r>
        <w:rPr>
          <w:rStyle w:val="nfasis"/>
        </w:rPr>
        <w:t xml:space="preserve">Lo que dice Tinkle:</w:t>
      </w:r>
      <w:r>
        <w:t xml:space="preserve"> es lo que más valor aportaría y falta desarrollarlo. Exigiría tiempo suyo. Falta definir la asignación por cuentas, centros de costes, repartos de gastos comunes y porcentajes.</w:t>
      </w:r>
    </w:p>
    <w:p>
      <w:pPr>
        <w:pStyle w:val="ListBullet"/>
      </w:pPr>
      <w:r>
        <w:rPr>
          <w:rStyle w:val="nfasis"/>
        </w:rPr>
        <w:t xml:space="preserve">Situación:</w:t>
      </w:r>
      <w:r>
        <w:t xml:space="preserve"> no está construido. Hay hojas de Planning para Revenue FT3 y FT8 sin validar y cuyo writeback no vuelve al lakehouse (M9). En las reuniones IV y V se explicó el proceso, pero quedó sin decidir casi todo lo que lo define:</w:t>
      </w:r>
    </w:p>
    <w:p>
      <w:pPr>
        <w:pStyle w:val="ListBullet"/>
        <w:numPr>
          <w:ilvl w:val="1"/>
          <w:numId w:val="2"/>
        </w:numPr>
      </w:pPr>
      <w:r>
        <w:t xml:space="preserve">la regla de reparto mensual (P-091, P-092, P-093, la decide David);</w:t>
      </w:r>
    </w:p>
    <w:p>
      <w:pPr>
        <w:pStyle w:val="ListBullet"/>
        <w:numPr>
          <w:ilvl w:val="1"/>
          <w:numId w:val="2"/>
        </w:numPr>
      </w:pPr>
      <w:r>
        <w:t xml:space="preserve">las reglas configurables por partida (P-094, P-095, P-096);</w:t>
      </w:r>
    </w:p>
    <w:p>
      <w:pPr>
        <w:pStyle w:val="ListBullet"/>
        <w:numPr>
          <w:ilvl w:val="1"/>
          <w:numId w:val="2"/>
        </w:numPr>
      </w:pPr>
      <w:r>
        <w:t xml:space="preserve">la mensualización del revenue y del nuevo negocio (P-097, P-103, P-104);</w:t>
      </w:r>
    </w:p>
    <w:p>
      <w:pPr>
        <w:pStyle w:val="ListBullet"/>
        <w:numPr>
          <w:ilvl w:val="1"/>
          <w:numId w:val="2"/>
        </w:numPr>
      </w:pPr>
      <w:r>
        <w:t xml:space="preserve">la herramienta para las directoras (P-117, la decide David);</w:t>
      </w:r>
    </w:p>
    <w:p>
      <w:pPr>
        <w:pStyle w:val="ListBullet"/>
        <w:numPr>
          <w:ilvl w:val="1"/>
          <w:numId w:val="2"/>
        </w:numPr>
      </w:pPr>
      <w:r>
        <w:t xml:space="preserve">si presupuesto y forecast son el mismo proceso (P-099);</w:t>
      </w:r>
    </w:p>
    <w:p>
      <w:pPr>
        <w:pStyle w:val="ListBullet"/>
        <w:numPr>
          <w:ilvl w:val="1"/>
          <w:numId w:val="2"/>
        </w:numPr>
      </w:pPr>
      <w:r>
        <w:t xml:space="preserve">el objetivo de crecimiento (P-101, P-102);</w:t>
      </w:r>
    </w:p>
    <w:p>
      <w:pPr>
        <w:pStyle w:val="ListBullet"/>
        <w:numPr>
          <w:ilvl w:val="1"/>
          <w:numId w:val="2"/>
        </w:numPr>
      </w:pPr>
      <w:r>
        <w:t xml:space="preserve">la salida en el formato de carga de Magnitude (P-065).</w:t>
      </w:r>
    </w:p>
    <w:p>
      <w:pPr>
        <w:pStyle w:val="ListBullet"/>
      </w:pPr>
      <w:r>
        <w:rPr>
          <w:rStyle w:val="nfasis"/>
        </w:rPr>
        <w:t xml:space="preserve">Qué falta:</w:t>
      </w:r>
      <w:r>
        <w:t xml:space="preserve"> una sesión de trabajo para fijar el modelo de atribución de cada gasto: cuenta, centro de coste, gasto común o compartido y porcentaje (notas de la reunión). Sin ese modelo no se puede construir. Después hay que construir el draft por reglas, la captura por directora y la exportación a Magnitude.</w:t>
      </w:r>
    </w:p>
    <w:p>
      <w:pPr>
        <w:pStyle w:val="ListBullet"/>
      </w:pPr>
      <w:r>
        <w:rPr>
          <w:rStyle w:val="nfasis"/>
        </w:rPr>
        <w:t xml:space="preserve">Calendario:</w:t>
      </w:r>
      <w:r>
        <w:t xml:space="preserve"> el presupuesto del año siguiente se prepara en septiembre (correo del 21/04), así que el próximo hito es el FT3 de 2027 (primera semana de abril, con enero a marzo reales). Llegar a finales de enero con el modelo de reparto decidido y un draft funcional permite usar la herramienta en ese FT3.</w:t>
      </w:r>
    </w:p>
    <w:p>
      <w:pPr>
        <w:pStyle w:val="Heading2"/>
      </w:pPr>
      <w:r>
        <w:t xml:space="preserve">Gastos de personal (conceptos 23 y 24)</w:t>
      </w:r>
    </w:p>
    <w:p>
      <w:pPr>
        <w:pStyle w:val="ListBullet"/>
      </w:pPr>
      <w:r>
        <w:rPr>
          <w:rStyle w:val="nfasis"/>
        </w:rPr>
        <w:t xml:space="preserve">Lo que dice Tinkle:</w:t>
      </w:r>
      <w:r>
        <w:t xml:space="preserve"> falta definir las asignaciones presupuestarias con sus repartos entre departamentos o centros de coste, y los criterios de uso para presupuesto y rentabilidad.</w:t>
      </w:r>
    </w:p>
    <w:p>
      <w:pPr>
        <w:pStyle w:val="ListBullet"/>
      </w:pPr>
      <w:r>
        <w:rPr>
          <w:rStyle w:val="nfasis"/>
        </w:rPr>
        <w:t xml:space="preserve">Situación:</w:t>
      </w:r>
      <w:r>
        <w:t xml:space="preserve"> hoy la dedicación de cada persona no está en ningún maestro. Vive en los Excel de cada directora como importe, el organigrama por equipos no existe y el centro de coste de MMS no se usa (P-151, P-157, P-158, P-082). En la reunión V se plantearon la matriz de dedicación y los subcentros de coste, sin decisión. Está pendiente:</w:t>
      </w:r>
    </w:p>
    <w:p>
      <w:pPr>
        <w:pStyle w:val="ListBullet"/>
        <w:numPr>
          <w:ilvl w:val="1"/>
          <w:numId w:val="2"/>
        </w:numPr>
      </w:pPr>
      <w:r>
        <w:t xml:space="preserve">registrar el reparto por cliente, por equipo o por centro de coste (P-156);</w:t>
      </w:r>
    </w:p>
    <w:p>
      <w:pPr>
        <w:pStyle w:val="ListBullet"/>
        <w:numPr>
          <w:ilvl w:val="1"/>
          <w:numId w:val="2"/>
        </w:numPr>
      </w:pPr>
      <w:r>
        <w:t xml:space="preserve">que la dedicación sume exactamente el 100 % (P-154);</w:t>
      </w:r>
    </w:p>
    <w:p>
      <w:pPr>
        <w:pStyle w:val="ListBullet"/>
        <w:numPr>
          <w:ilvl w:val="1"/>
          <w:numId w:val="2"/>
        </w:numPr>
      </w:pPr>
      <w:r>
        <w:t xml:space="preserve">repartir los gastos generales y los que no van por centro de coste (P-135, P-136);</w:t>
      </w:r>
    </w:p>
    <w:p>
      <w:pPr>
        <w:pStyle w:val="ListBullet"/>
        <w:numPr>
          <w:ilvl w:val="1"/>
          <w:numId w:val="2"/>
        </w:numPr>
      </w:pPr>
      <w:r>
        <w:t xml:space="preserve">tratar el nuevo negocio (P-103).</w:t>
      </w:r>
    </w:p>
    <w:p>
      <w:pPr>
        <w:pStyle w:val="ListBullet"/>
      </w:pPr>
      <w:r>
        <w:rPr>
          <w:rStyle w:val="nfasis"/>
        </w:rPr>
        <w:t xml:space="preserve">Bloqueante:</w:t>
      </w:r>
      <w:r>
        <w:t xml:space="preserve"> el fichero de nóminas es la entrada de todo esto. Falta decidir cómo se comparte (anonimizado o con permiso de David) y quién lo ve (P-194 a P-198). Ver 4.7.</w:t>
      </w:r>
    </w:p>
    <w:p>
      <w:pPr>
        <w:pStyle w:val="Heading2"/>
      </w:pPr>
      <w:r>
        <w:t xml:space="preserve">Reporting de Grupo (conceptos 10 a 16 y 22)</w:t>
      </w:r>
    </w:p>
    <w:p>
      <w:pPr>
        <w:pStyle w:val="ListBullet"/>
      </w:pPr>
      <w:r>
        <w:rPr>
          <w:rStyle w:val="nfasis"/>
        </w:rPr>
        <w:t xml:space="preserve">Lo que dice Tinkle:</w:t>
      </w:r>
      <w:r>
        <w:t xml:space="preserve"> no han visto la conversión a TXT para Magnitude ni la carga de presupuestos.</w:t>
      </w:r>
    </w:p>
    <w:p>
      <w:pPr>
        <w:pStyle w:val="ListBullet"/>
      </w:pPr>
      <w:r>
        <w:rPr>
          <w:rStyle w:val="nfasis"/>
        </w:rPr>
        <w:t xml:space="preserve">Situación:</w:t>
      </w:r>
      <w:r>
        <w:t xml:space="preserve"> el notebook genera Balance y Saldos 4_7, con validaciones de formato, solo para las cinco sociedades españolas y solo se ha ejecutado para marzo. Faltan:</w:t>
      </w:r>
    </w:p>
    <w:p>
      <w:pPr>
        <w:pStyle w:val="ListBullet"/>
        <w:numPr>
          <w:ilvl w:val="1"/>
          <w:numId w:val="2"/>
        </w:numPr>
      </w:pPr>
      <w:r>
        <w:t xml:space="preserve">Portugal (PTE019) y HAPA (ESP073), que son justo los que Tinkle sube hoy a mano (P-057);</w:t>
      </w:r>
    </w:p>
    <w:p>
      <w:pPr>
        <w:pStyle w:val="ListBullet"/>
        <w:numPr>
          <w:ilvl w:val="1"/>
          <w:numId w:val="2"/>
        </w:numPr>
      </w:pPr>
      <w:r>
        <w:t xml:space="preserve">los otros cinco tipos: Ageing, Revenue, Pendiente_Facturar, Working_Capital y CashFlow (las preguntas 1 a 15 de PREGUNTAS_PARA_TINKLE.md siguen sin respuesta y el cash flow no se ha explicado, P-064);</w:t>
      </w:r>
    </w:p>
    <w:p>
      <w:pPr>
        <w:pStyle w:val="ListBullet"/>
        <w:numPr>
          <w:ilvl w:val="1"/>
          <w:numId w:val="2"/>
        </w:numPr>
      </w:pPr>
      <w:r>
        <w:t xml:space="preserve">la salida del presupuesto en formato Magnitude (P-065).</w:t>
      </w:r>
    </w:p>
    <w:p>
      <w:pPr>
        <w:pStyle w:val="ListBullet"/>
      </w:pPr>
      <w:r>
        <w:rPr>
          <w:rStyle w:val="nfasis"/>
        </w:rPr>
        <w:t xml:space="preserve">Riesgos:</w:t>
      </w:r>
      <w:r>
        <w:t xml:space="preserve"> la sustitución anunciada de Magnitude (probablemente por Tagetik) puede cambiar el formato a mitad de proyecto (P-058). La copia a SharePoint lleva siempre todo el histórico (O7), y el pipeline que genera los ficheros no está encadenado con el de carga (O2).</w:t>
      </w:r>
    </w:p>
    <w:p>
      <w:pPr>
        <w:pStyle w:val="ListBullet"/>
      </w:pPr>
      <w:r>
        <w:rPr>
          <w:rStyle w:val="nfasis"/>
        </w:rPr>
        <w:t xml:space="preserve">Prueba de valor:</w:t>
      </w:r>
      <w:r>
        <w:t xml:space="preserve"> generar los TXT de octubre, noviembre y diciembre de las siete unidades en paralelo con el proceso actual y compararlos línea a línea con los que se suben a Magnitude.</w:t>
      </w:r>
    </w:p>
    <w:p>
      <w:pPr>
        <w:pStyle w:val="Heading2"/>
      </w:pPr>
      <w:r>
        <w:t xml:space="preserve">Agings (concepto 25)</w:t>
      </w:r>
    </w:p>
    <w:p>
      <w:pPr>
        <w:pStyle w:val="ListBullet"/>
      </w:pPr>
      <w:r>
        <w:rPr>
          <w:rStyle w:val="nfasis"/>
        </w:rPr>
        <w:t xml:space="preserve">Situación:</w:t>
      </w:r>
      <w:r>
        <w:t xml:space="preserve"> el informe y el modelo existen, con carga inicial hasta marzo. Falta lo pedido en la reunión IV:</w:t>
      </w:r>
    </w:p>
    <w:p>
      <w:pPr>
        <w:pStyle w:val="ListBullet"/>
        <w:numPr>
          <w:ilvl w:val="1"/>
          <w:numId w:val="2"/>
        </w:numPr>
      </w:pPr>
      <w:r>
        <w:t xml:space="preserve">fecha de vencimiento desde cuentas a pagar y a cobrar (P-175, P-176);</w:t>
      </w:r>
    </w:p>
    <w:p>
      <w:pPr>
        <w:pStyle w:val="ListBullet"/>
        <w:numPr>
          <w:ilvl w:val="1"/>
          <w:numId w:val="2"/>
        </w:numPr>
      </w:pPr>
      <w:r>
        <w:t xml:space="preserve">consolidado por vencimiento con filtro por sociedad (P-177);</w:t>
      </w:r>
    </w:p>
    <w:p>
      <w:pPr>
        <w:pStyle w:val="ListBullet"/>
        <w:numPr>
          <w:ilvl w:val="1"/>
          <w:numId w:val="2"/>
        </w:numPr>
      </w:pPr>
      <w:r>
        <w:t xml:space="preserve">control de riesgo de crédito con límite y alerta, y su maestro (P-179 a P-181);</w:t>
      </w:r>
    </w:p>
    <w:p>
      <w:pPr>
        <w:pStyle w:val="ListBullet"/>
        <w:numPr>
          <w:ilvl w:val="1"/>
          <w:numId w:val="2"/>
        </w:numPr>
      </w:pPr>
      <w:r>
        <w:t xml:space="preserve">cuadre con las cuentas 4000 y 430 (P-173).</w:t>
      </w:r>
    </w:p>
    <w:p>
      <w:pPr/>
      <w:r>
        <w:t xml:space="preserve">Además, el modelo usa un calendario fijo de 2026 a 2027 (N10), y los extractos brutos prometidos no constan como subidos (P-182, P-183).</w:t>
      </w:r>
    </w:p>
    <w:p>
      <w:pPr>
        <w:pStyle w:val="Heading2"/>
      </w:pPr>
      <w:r>
        <w:t xml:space="preserve">Accesos y restricciones por usuario (conceptos 26 y 27)</w:t>
      </w:r>
    </w:p>
    <w:p>
      <w:pPr>
        <w:pStyle w:val="ListBullet"/>
      </w:pPr>
      <w:r>
        <w:rPr>
          <w:rStyle w:val="nfasis"/>
        </w:rPr>
        <w:t xml:space="preserve">Situación:</w:t>
      </w:r>
      <w:r>
        <w:t xml:space="preserve"> ni Financial Model ni Agings tienen roles de seguridad. Cualquiera con acceso a un informe ve todos los datos, incluidos los salarios de Dim_RRHH (S3, S4). La tabla RLS existe y se carga, pero no está enlazada a ningún modelo (N3).</w:t>
      </w:r>
    </w:p>
    <w:p>
      <w:pPr>
        <w:pStyle w:val="ListBullet"/>
      </w:pPr>
      <w:r>
        <w:rPr>
          <w:rStyle w:val="nfasis"/>
        </w:rPr>
        <w:t xml:space="preserve">Requisitos de las reuniones:</w:t>
      </w:r>
      <w:r>
        <w:t xml:space="preserve"> las directoras solo ven sus clientes y su equipo (P-192); las nóminas, solo finanzas (P-194); en MMS, cada persona ve solo lo suyo (P-193).</w:t>
      </w:r>
    </w:p>
    <w:p>
      <w:pPr>
        <w:pStyle w:val="ListBullet"/>
      </w:pPr>
      <w:r>
        <w:rPr>
          <w:rStyle w:val="nfasis"/>
        </w:rPr>
        <w:t xml:space="preserve">Pendientes:</w:t>
      </w:r>
    </w:p>
    <w:p>
      <w:pPr>
        <w:pStyle w:val="ListBullet"/>
        <w:numPr>
          <w:ilvl w:val="1"/>
          <w:numId w:val="2"/>
        </w:numPr>
      </w:pPr>
      <w:r>
        <w:t xml:space="preserve">el correo de Docenteo a David con roles e inventario de accesos (P-188);</w:t>
      </w:r>
    </w:p>
    <w:p>
      <w:pPr>
        <w:pStyle w:val="ListBullet"/>
        <w:numPr>
          <w:ilvl w:val="1"/>
          <w:numId w:val="2"/>
        </w:numPr>
      </w:pPr>
      <w:r>
        <w:t xml:space="preserve">la respuesta de David (P-189);</w:t>
      </w:r>
    </w:p>
    <w:p>
      <w:pPr>
        <w:pStyle w:val="ListBullet"/>
        <w:numPr>
          <w:ilvl w:val="1"/>
          <w:numId w:val="2"/>
        </w:numPr>
      </w:pPr>
      <w:r>
        <w:t xml:space="preserve">una reunión con él (P-190);</w:t>
      </w:r>
    </w:p>
    <w:p>
      <w:pPr>
        <w:pStyle w:val="ListBullet"/>
        <w:numPr>
          <w:ilvl w:val="1"/>
          <w:numId w:val="2"/>
        </w:numPr>
      </w:pPr>
      <w:r>
        <w:t xml:space="preserve">el número de usuarios y el acceso de cada uno (P-191).</w:t>
      </w:r>
    </w:p>
    <w:p>
      <w:pPr>
        <w:pStyle w:val="ListBullet"/>
      </w:pPr>
      <w:r>
        <w:rPr>
          <w:rStyle w:val="nfasis"/>
        </w:rPr>
        <w:t xml:space="preserve">Valoración de Docenteo:</w:t>
      </w:r>
      <w:r>
        <w:t xml:space="preserve"> debe resolverse antes de dar acceso a las directoras o a cualquier persona fuera de finanzas, incluida la sesión con Josep si se usa la app con datos salariales.</w:t>
      </w:r>
    </w:p>
    <w:p>
      <w:pPr>
        <w:pStyle w:val="Heading2"/>
      </w:pPr>
      <w:r>
        <w:t xml:space="preserve">Controles de veracidad de la información (concepto 7)</w:t>
      </w:r>
    </w:p>
    <w:p>
      <w:pPr>
        <w:pStyle w:val="ListBullet"/>
      </w:pPr>
      <w:r>
        <w:rPr>
          <w:rStyle w:val="nfasis"/>
        </w:rPr>
        <w:t xml:space="preserve">Situación:</w:t>
      </w:r>
      <w:r>
        <w:t xml:space="preserve"> solo hay validaciones de formato en el notebook de ficheros de Grupo. No existen en la herramienta los controles que hoy hace el checklist:</w:t>
      </w:r>
    </w:p>
    <w:p>
      <w:pPr>
        <w:pStyle w:val="ListBullet"/>
        <w:numPr>
          <w:ilvl w:val="1"/>
          <w:numId w:val="2"/>
        </w:numPr>
      </w:pPr>
      <w:r>
        <w:t xml:space="preserve">sumas y saldos que cuadran a cero (BSS OF);</w:t>
      </w:r>
    </w:p>
    <w:p>
      <w:pPr>
        <w:pStyle w:val="ListBullet"/>
        <w:numPr>
          <w:ilvl w:val="1"/>
          <w:numId w:val="2"/>
        </w:numPr>
      </w:pPr>
      <w:r>
        <w:t xml:space="preserve">resultado por sociedad contra Oracle (PL OF);</w:t>
      </w:r>
    </w:p>
    <w:p>
      <w:pPr>
        <w:pStyle w:val="ListBullet"/>
        <w:numPr>
          <w:ilvl w:val="1"/>
          <w:numId w:val="2"/>
        </w:numPr>
      </w:pPr>
      <w:r>
        <w:t xml:space="preserve">intercompany que da cero (P-012);</w:t>
      </w:r>
    </w:p>
    <w:p>
      <w:pPr>
        <w:pStyle w:val="ListBullet"/>
        <w:numPr>
          <w:ilvl w:val="1"/>
          <w:numId w:val="2"/>
        </w:numPr>
      </w:pPr>
      <w:r>
        <w:t xml:space="preserve">4000 y 430 contra agings (P-173);</w:t>
      </w:r>
    </w:p>
    <w:p>
      <w:pPr>
        <w:pStyle w:val="ListBullet"/>
        <w:numPr>
          <w:ilvl w:val="1"/>
          <w:numId w:val="2"/>
        </w:numPr>
      </w:pPr>
      <w:r>
        <w:t xml:space="preserve">descuadres por redondeo hacia Magnitude (P-002);</w:t>
      </w:r>
    </w:p>
    <w:p>
      <w:pPr>
        <w:pStyle w:val="ListBullet"/>
        <w:numPr>
          <w:ilvl w:val="1"/>
          <w:numId w:val="2"/>
        </w:numPr>
      </w:pPr>
      <w:r>
        <w:t xml:space="preserve">cuentas sin mapear en el cierre (P-050).</w:t>
      </w:r>
    </w:p>
    <w:p>
      <w:pPr/>
      <w:r>
        <w:t xml:space="preserve">Tampoco hay alertas de fallo en los pipelines. Además, los refrescos de los modelos se lanzan aunque falle la transformación (O1).</w:t>
      </w:r>
    </w:p>
    <w:p>
      <w:pPr>
        <w:pStyle w:val="ListBullet"/>
      </w:pPr>
      <w:r>
        <w:rPr>
          <w:rStyle w:val="nfasis"/>
        </w:rPr>
        <w:t xml:space="preserve">Qué falta:</w:t>
      </w:r>
      <w:r>
        <w:t xml:space="preserve"> una página de controles del cierre con semáforo por control y sociedad, y que la generación de TXT no se permita si un control falla.</w:t>
      </w:r>
    </w:p>
    <w:p>
      <w:pPr>
        <w:pStyle w:val="Heading1"/>
      </w:pPr>
      <w:r>
        <w:t xml:space="preserve">Pendientes que el correo no menciona</w:t>
      </w:r>
    </w:p>
    <w:tbl>
      <w:tblPr>
        <w:tblStyle w:val="TablaDocenteo"/>
        <w:tblW w:w="9412" w:type="dxa"/>
        <w:tblLayout w:type="fixed"/>
        <w:tblLook w:val="0420" w:firstRow="1" w:lastRow="0" w:firstColumn="0" w:lastColumn="0" w:noHBand="1" w:noVBand="1"/>
      </w:tblPr>
      <w:tblGrid>
        <w:gridCol w:w="3472"/>
        <w:gridCol w:w="3472"/>
        <w:gridCol w:w="1083"/>
        <w:gridCol w:w="1385"/>
      </w:tblGrid>
      <w:tr>
        <w:trPr>
          <w:tblHeader/>
          <w:cantSplit/>
        </w:trPr>
        <w:tc>
          <w:tcPr>
            <w:tcW w:w="3472" w:type="dxa"/>
          </w:tcPr>
          <w:p>
            <w:pPr/>
            <w:r>
              <w:t xml:space="preserve">Tema</w:t>
            </w:r>
          </w:p>
        </w:tc>
        <w:tc>
          <w:tcPr>
            <w:tcW w:w="3472" w:type="dxa"/>
          </w:tcPr>
          <w:p>
            <w:pPr/>
            <w:r>
              <w:t xml:space="preserve">Riesgo</w:t>
            </w:r>
          </w:p>
        </w:tc>
        <w:tc>
          <w:tcPr>
            <w:tcW w:w="1083" w:type="dxa"/>
          </w:tcPr>
          <w:p>
            <w:pPr>
              <w:jc w:val="right"/>
            </w:pPr>
            <w:r>
              <w:t xml:space="preserve">Concepto</w:t>
            </w:r>
          </w:p>
        </w:tc>
        <w:tc>
          <w:tcPr>
            <w:tcW w:w="1385" w:type="dxa"/>
          </w:tcPr>
          <w:p>
            <w:pPr/>
            <w:r>
              <w:t xml:space="preserve">Ids</w:t>
            </w:r>
          </w:p>
        </w:tc>
      </w:tr>
      <w:tr>
        <w:trPr>
          <w:cantSplit/>
        </w:trPr>
        <w:tc>
          <w:tcPr>
            <w:tcW w:w="3472" w:type="dxa"/>
          </w:tcPr>
          <w:p>
            <w:pPr/>
            <w:r>
              <w:t xml:space="preserve">Secreto de Entra ID en el código de las dos funciones de usuario</w:t>
            </w:r>
          </w:p>
        </w:tc>
        <w:tc>
          <w:tcPr>
            <w:tcW w:w="3472" w:type="dxa"/>
          </w:tcPr>
          <w:p>
            <w:pPr/>
            <w:r>
              <w:t xml:space="preserve">Alto: cualquiera con lectura del item puede ejecutar como esa aplicación</w:t>
            </w:r>
          </w:p>
        </w:tc>
        <w:tc>
          <w:tcPr>
            <w:tcW w:w="1083" w:type="dxa"/>
          </w:tcPr>
          <w:p>
            <w:pPr>
              <w:jc w:val="right"/>
            </w:pPr>
            <w:r>
              <w:t xml:space="preserve">27</w:t>
            </w:r>
          </w:p>
        </w:tc>
        <w:tc>
          <w:tcPr>
            <w:tcW w:w="1385" w:type="dxa"/>
          </w:tcPr>
          <w:p>
            <w:pPr/>
            <w:r>
              <w:t xml:space="preserve">S1, S2</w:t>
            </w:r>
          </w:p>
        </w:tc>
      </w:tr>
      <w:tr>
        <w:trPr>
          <w:cantSplit/>
        </w:trPr>
        <w:tc>
          <w:tcPr>
            <w:tcW w:w="3472" w:type="dxa"/>
          </w:tcPr>
          <w:p>
            <w:pPr/>
            <w:r>
              <w:t xml:space="preserve">Carpeta de entrada en el OneDrive personal de la cuenta de reporting</w:t>
            </w:r>
          </w:p>
        </w:tc>
        <w:tc>
          <w:tcPr>
            <w:tcW w:w="3472" w:type="dxa"/>
          </w:tcPr>
          <w:p>
            <w:pPr/>
            <w:r>
              <w:t xml:space="preserve">Medio: si la cuenta se desactiva se rompe la ingesta</w:t>
            </w:r>
          </w:p>
        </w:tc>
        <w:tc>
          <w:tcPr>
            <w:tcW w:w="1083" w:type="dxa"/>
          </w:tcPr>
          <w:p>
            <w:pPr>
              <w:jc w:val="right"/>
            </w:pPr>
            <w:r>
              <w:t xml:space="preserve">1</w:t>
            </w:r>
          </w:p>
        </w:tc>
        <w:tc>
          <w:tcPr>
            <w:tcW w:w="1385" w:type="dxa"/>
          </w:tcPr>
          <w:p>
            <w:pPr/>
            <w:r>
              <w:t xml:space="preserve">S6</w:t>
            </w:r>
          </w:p>
        </w:tc>
      </w:tr>
      <w:tr>
        <w:trPr>
          <w:cantSplit/>
        </w:trPr>
        <w:tc>
          <w:tcPr>
            <w:tcW w:w="3472" w:type="dxa"/>
          </w:tcPr>
          <w:p>
            <w:pPr/>
            <w:r>
              <w:t xml:space="preserve">HAPA sin diario de movimientos, solo saldos, y solo enero cargado</w:t>
            </w:r>
          </w:p>
        </w:tc>
        <w:tc>
          <w:tcPr>
            <w:tcW w:w="3472" w:type="dxa"/>
          </w:tcPr>
          <w:p>
            <w:pPr/>
            <w:r>
              <w:t xml:space="preserve">Alto para trazabilidad y para su TXT</w:t>
            </w:r>
          </w:p>
        </w:tc>
        <w:tc>
          <w:tcPr>
            <w:tcW w:w="1083" w:type="dxa"/>
          </w:tcPr>
          <w:p>
            <w:pPr>
              <w:jc w:val="right"/>
            </w:pPr>
            <w:r>
              <w:t xml:space="preserve">10</w:t>
            </w:r>
          </w:p>
        </w:tc>
        <w:tc>
          <w:tcPr>
            <w:tcW w:w="1385" w:type="dxa"/>
          </w:tcPr>
          <w:p>
            <w:pPr/>
            <w:r>
              <w:t xml:space="preserve">P-022 a P-027, N2</w:t>
            </w:r>
          </w:p>
        </w:tc>
      </w:tr>
      <w:tr>
        <w:trPr>
          <w:cantSplit/>
        </w:trPr>
        <w:tc>
          <w:tcPr>
            <w:tcW w:w="3472" w:type="dxa"/>
          </w:tcPr>
          <w:p>
            <w:pPr/>
            <w:r>
              <w:t xml:space="preserve">Portugal: impuesto de sociedades al 21 %, detalle de asientos y facturación por cliente</w:t>
            </w:r>
          </w:p>
        </w:tc>
        <w:tc>
          <w:tcPr>
            <w:tcW w:w="3472" w:type="dxa"/>
          </w:tcPr>
          <w:p>
            <w:pPr/>
            <w:r>
              <w:t xml:space="preserve">Medio</w:t>
            </w:r>
          </w:p>
        </w:tc>
        <w:tc>
          <w:tcPr>
            <w:tcW w:w="1083" w:type="dxa"/>
          </w:tcPr>
          <w:p>
            <w:pPr>
              <w:jc w:val="right"/>
            </w:pPr>
            <w:r>
              <w:t xml:space="preserve">11</w:t>
            </w:r>
          </w:p>
        </w:tc>
        <w:tc>
          <w:tcPr>
            <w:tcW w:w="1385" w:type="dxa"/>
          </w:tcPr>
          <w:p>
            <w:pPr/>
            <w:r>
              <w:t xml:space="preserve">P-031 a P-039</w:t>
            </w:r>
          </w:p>
        </w:tc>
      </w:tr>
      <w:tr>
        <w:trPr>
          <w:cantSplit/>
        </w:trPr>
        <w:tc>
          <w:tcPr>
            <w:tcW w:w="3472" w:type="dxa"/>
          </w:tcPr>
          <w:p>
            <w:pPr/>
            <w:r>
              <w:t xml:space="preserve">Mapeos sin histórico ni fecha de vigencia; cuentas nuevas cada mes</w:t>
            </w:r>
          </w:p>
        </w:tc>
        <w:tc>
          <w:tcPr>
            <w:tcW w:w="3472" w:type="dxa"/>
          </w:tcPr>
          <w:p>
            <w:pPr/>
            <w:r>
              <w:t xml:space="preserve">Alto: un cambio de mapeo altera cierres ya reportados</w:t>
            </w:r>
          </w:p>
        </w:tc>
        <w:tc>
          <w:tcPr>
            <w:tcW w:w="1083" w:type="dxa"/>
          </w:tcPr>
          <w:p>
            <w:pPr>
              <w:jc w:val="right"/>
            </w:pPr>
            <w:r>
              <w:t xml:space="preserve">8</w:t>
            </w:r>
          </w:p>
        </w:tc>
        <w:tc>
          <w:tcPr>
            <w:tcW w:w="1385" w:type="dxa"/>
          </w:tcPr>
          <w:p>
            <w:pPr/>
            <w:r>
              <w:t xml:space="preserve">P-050 a P-053</w:t>
            </w:r>
          </w:p>
        </w:tc>
      </w:tr>
      <w:tr>
        <w:trPr>
          <w:cantSplit/>
        </w:trPr>
        <w:tc>
          <w:tcPr>
            <w:tcW w:w="3472" w:type="dxa"/>
          </w:tcPr>
          <w:p>
            <w:pPr/>
            <w:r>
              <w:t xml:space="preserve">Cuentas X: exclusiones y si el detalle por cliente llega a Magnitude</w:t>
            </w:r>
          </w:p>
        </w:tc>
        <w:tc>
          <w:tcPr>
            <w:tcW w:w="3472" w:type="dxa"/>
          </w:tcPr>
          <w:p>
            <w:pPr/>
            <w:r>
              <w:t xml:space="preserve">Medio</w:t>
            </w:r>
          </w:p>
        </w:tc>
        <w:tc>
          <w:tcPr>
            <w:tcW w:w="1083" w:type="dxa"/>
          </w:tcPr>
          <w:p>
            <w:pPr>
              <w:jc w:val="right"/>
            </w:pPr>
            <w:r>
              <w:t xml:space="preserve">9</w:t>
            </w:r>
          </w:p>
        </w:tc>
        <w:tc>
          <w:tcPr>
            <w:tcW w:w="1385" w:type="dxa"/>
          </w:tcPr>
          <w:p>
            <w:pPr/>
            <w:r>
              <w:t xml:space="preserve">P-041 a P-049</w:t>
            </w:r>
          </w:p>
        </w:tc>
      </w:tr>
      <w:tr>
        <w:trPr>
          <w:cantSplit/>
        </w:trPr>
        <w:tc>
          <w:tcPr>
            <w:tcW w:w="3472" w:type="dxa"/>
          </w:tcPr>
          <w:p>
            <w:pPr/>
            <w:r>
              <w:t xml:space="preserve">Maestro de clientes Oracle y MMS, secciones y límite de crédito</w:t>
            </w:r>
          </w:p>
        </w:tc>
        <w:tc>
          <w:tcPr>
            <w:tcW w:w="3472" w:type="dxa"/>
          </w:tcPr>
          <w:p>
            <w:pPr/>
            <w:r>
              <w:t xml:space="preserve">Medio: base de rentabilidad y de agings</w:t>
            </w:r>
          </w:p>
        </w:tc>
        <w:tc>
          <w:tcPr>
            <w:tcW w:w="1083" w:type="dxa"/>
          </w:tcPr>
          <w:p>
            <w:pPr>
              <w:jc w:val="right"/>
            </w:pPr>
            <w:r>
              <w:t xml:space="preserve">18</w:t>
            </w:r>
          </w:p>
        </w:tc>
        <w:tc>
          <w:tcPr>
            <w:tcW w:w="1385" w:type="dxa"/>
          </w:tcPr>
          <w:p>
            <w:pPr/>
            <w:r>
              <w:t xml:space="preserve">P-128 a P-133</w:t>
            </w:r>
          </w:p>
        </w:tc>
      </w:tr>
      <w:tr>
        <w:trPr>
          <w:cantSplit/>
        </w:trPr>
        <w:tc>
          <w:tcPr>
            <w:tcW w:w="3472" w:type="dxa"/>
          </w:tcPr>
          <w:p>
            <w:pPr/>
            <w:r>
              <w:t xml:space="preserve">Tablas con dos productores en modo Replace (relanzar una carga inicial pisa el histórico)</w:t>
            </w:r>
          </w:p>
        </w:tc>
        <w:tc>
          <w:tcPr>
            <w:tcW w:w="3472" w:type="dxa"/>
          </w:tcPr>
          <w:p>
            <w:pPr/>
            <w:r>
              <w:t xml:space="preserve">Medio</w:t>
            </w:r>
          </w:p>
        </w:tc>
        <w:tc>
          <w:tcPr>
            <w:tcW w:w="1083" w:type="dxa"/>
          </w:tcPr>
          <w:p>
            <w:pPr>
              <w:jc w:val="right"/>
            </w:pPr>
            <w:r>
              <w:t xml:space="preserve">28</w:t>
            </w:r>
          </w:p>
        </w:tc>
        <w:tc>
          <w:tcPr>
            <w:tcW w:w="1385" w:type="dxa"/>
          </w:tcPr>
          <w:p>
            <w:pPr/>
            <w:r>
              <w:t xml:space="preserve">O3, N4</w:t>
            </w:r>
          </w:p>
        </w:tc>
      </w:tr>
      <w:tr>
        <w:trPr>
          <w:cantSplit/>
        </w:trPr>
        <w:tc>
          <w:tcPr>
            <w:tcW w:w="3472" w:type="dxa"/>
          </w:tcPr>
          <w:p>
            <w:pPr/>
            <w:r>
              <w:t xml:space="preserve">Dataflows de maestros, presupuesto y rentabilidad fuera de cualquier pipeline</w:t>
            </w:r>
          </w:p>
        </w:tc>
        <w:tc>
          <w:tcPr>
            <w:tcW w:w="3472" w:type="dxa"/>
          </w:tcPr>
          <w:p>
            <w:pPr/>
            <w:r>
              <w:t xml:space="preserve">Medio</w:t>
            </w:r>
          </w:p>
        </w:tc>
        <w:tc>
          <w:tcPr>
            <w:tcW w:w="1083" w:type="dxa"/>
          </w:tcPr>
          <w:p>
            <w:pPr>
              <w:jc w:val="right"/>
            </w:pPr>
            <w:r>
              <w:t xml:space="preserve">28</w:t>
            </w:r>
          </w:p>
        </w:tc>
        <w:tc>
          <w:tcPr>
            <w:tcW w:w="1385" w:type="dxa"/>
          </w:tcPr>
          <w:p>
            <w:pPr/>
            <w:r>
              <w:t xml:space="preserve">O4</w:t>
            </w:r>
          </w:p>
        </w:tc>
      </w:tr>
      <w:tr>
        <w:trPr>
          <w:cantSplit/>
        </w:trPr>
        <w:tc>
          <w:tcPr>
            <w:tcW w:w="3472" w:type="dxa"/>
          </w:tcPr>
          <w:p>
            <w:pPr/>
            <w:r>
              <w:t xml:space="preserve">Capacidad nueva sin confirmar (tipo, coste y quién la administra)</w:t>
            </w:r>
          </w:p>
        </w:tc>
        <w:tc>
          <w:tcPr>
            <w:tcW w:w="3472" w:type="dxa"/>
          </w:tcPr>
          <w:p>
            <w:pPr/>
            <w:r>
              <w:t xml:space="preserve">Medio</w:t>
            </w:r>
          </w:p>
        </w:tc>
        <w:tc>
          <w:tcPr>
            <w:tcW w:w="1083" w:type="dxa"/>
          </w:tcPr>
          <w:p>
            <w:pPr>
              <w:jc w:val="right"/>
            </w:pPr>
            <w:r>
              <w:t xml:space="preserve">28</w:t>
            </w:r>
          </w:p>
        </w:tc>
        <w:tc>
          <w:tcPr>
            <w:tcW w:w="1385" w:type="dxa"/>
          </w:tcPr>
          <w:p>
            <w:pPr/>
            <w:r>
              <w:t xml:space="preserve">N1</w:t>
            </w:r>
          </w:p>
        </w:tc>
      </w:tr>
      <w:tr>
        <w:trPr>
          <w:cantSplit/>
        </w:trPr>
        <w:tc>
          <w:tcPr>
            <w:tcW w:w="3472" w:type="dxa"/>
          </w:tcPr>
          <w:p>
            <w:pPr/>
            <w:r>
              <w:t xml:space="preserve">Vista 300.vw_Reporting_Actuals sin uso</w:t>
            </w:r>
          </w:p>
        </w:tc>
        <w:tc>
          <w:tcPr>
            <w:tcW w:w="3472" w:type="dxa"/>
          </w:tcPr>
          <w:p>
            <w:pPr/>
            <w:r>
              <w:t xml:space="preserve">Bajo</w:t>
            </w:r>
          </w:p>
        </w:tc>
        <w:tc>
          <w:tcPr>
            <w:tcW w:w="1083" w:type="dxa"/>
          </w:tcPr>
          <w:p>
            <w:pPr>
              <w:jc w:val="right"/>
            </w:pPr>
            <w:r>
              <w:t xml:space="preserve">28</w:t>
            </w:r>
          </w:p>
        </w:tc>
        <w:tc>
          <w:tcPr>
            <w:tcW w:w="1385" w:type="dxa"/>
          </w:tcPr>
          <w:p>
            <w:pPr/>
            <w:r>
              <w:t xml:space="preserve">N9</w:t>
            </w:r>
          </w:p>
        </w:tc>
      </w:tr>
      <w:tr>
        <w:trPr>
          <w:cantSplit/>
        </w:trPr>
        <w:tc>
          <w:tcPr>
            <w:tcW w:w="3472" w:type="dxa"/>
          </w:tcPr>
          <w:p>
            <w:pPr/>
            <w:r>
              <w:t xml:space="preserve">Calendario y plazos del Grupo no compartidos; plazo real de cierre sin aclarar</w:t>
            </w:r>
          </w:p>
        </w:tc>
        <w:tc>
          <w:tcPr>
            <w:tcW w:w="3472" w:type="dxa"/>
          </w:tcPr>
          <w:p>
            <w:pPr/>
            <w:r>
              <w:t xml:space="preserve">Medio para planificar</w:t>
            </w:r>
          </w:p>
        </w:tc>
        <w:tc>
          <w:tcPr>
            <w:tcW w:w="1083" w:type="dxa"/>
          </w:tcPr>
          <w:p>
            <w:pPr>
              <w:jc w:val="right"/>
            </w:pPr>
            <w:r>
              <w:t xml:space="preserve">4</w:t>
            </w:r>
          </w:p>
        </w:tc>
        <w:tc>
          <w:tcPr>
            <w:tcW w:w="1385" w:type="dxa"/>
          </w:tcPr>
          <w:p>
            <w:pPr/>
            <w:r>
              <w:t xml:space="preserve">P-018, P-019</w:t>
            </w:r>
          </w:p>
        </w:tc>
      </w:tr>
    </w:tbl>
    <w:p>
      <w:pPr>
        <w:pStyle w:val="Heading1"/>
      </w:pPr>
      <w:r>
        <w:t xml:space="preserve">Decisiones que solo puede tomar Tinkle</w:t>
      </w:r>
    </w:p>
    <w:p>
      <w:pPr/>
      <w:r>
        <w:t xml:space="preserve">Sin ellas no se puede avanzar en el presupuesto, el personal ni la rentabilidad. Conviene pedirlas por escrito, con fecha.</w:t>
      </w:r>
    </w:p>
    <w:tbl>
      <w:tblPr>
        <w:tblStyle w:val="TablaDocenteo"/>
        <w:tblW w:w="9412" w:type="dxa"/>
        <w:tblLayout w:type="fixed"/>
        <w:tblLook w:val="0420" w:firstRow="1" w:lastRow="0" w:firstColumn="0" w:lastColumn="0" w:noHBand="1" w:noVBand="1"/>
      </w:tblPr>
      <w:tblGrid>
        <w:gridCol w:w="3586"/>
        <w:gridCol w:w="3099"/>
        <w:gridCol w:w="1119"/>
        <w:gridCol w:w="1608"/>
      </w:tblGrid>
      <w:tr>
        <w:trPr>
          <w:tblHeader/>
          <w:cantSplit/>
        </w:trPr>
        <w:tc>
          <w:tcPr>
            <w:tcW w:w="3586" w:type="dxa"/>
          </w:tcPr>
          <w:p>
            <w:pPr/>
            <w:r>
              <w:t xml:space="preserve">Decisión</w:t>
            </w:r>
          </w:p>
        </w:tc>
        <w:tc>
          <w:tcPr>
            <w:tcW w:w="3099" w:type="dxa"/>
          </w:tcPr>
          <w:p>
            <w:pPr/>
            <w:r>
              <w:t xml:space="preserve">Quién</w:t>
            </w:r>
          </w:p>
        </w:tc>
        <w:tc>
          <w:tcPr>
            <w:tcW w:w="1119" w:type="dxa"/>
          </w:tcPr>
          <w:p>
            <w:pPr>
              <w:jc w:val="right"/>
            </w:pPr>
            <w:r>
              <w:t xml:space="preserve">Concepto</w:t>
            </w:r>
          </w:p>
        </w:tc>
        <w:tc>
          <w:tcPr>
            <w:tcW w:w="1608" w:type="dxa"/>
          </w:tcPr>
          <w:p>
            <w:pPr/>
            <w:r>
              <w:t xml:space="preserve">Ids</w:t>
            </w:r>
          </w:p>
        </w:tc>
      </w:tr>
      <w:tr>
        <w:trPr>
          <w:cantSplit/>
        </w:trPr>
        <w:tc>
          <w:tcPr>
            <w:tcW w:w="3586" w:type="dxa"/>
          </w:tcPr>
          <w:p>
            <w:pPr/>
            <w:r>
              <w:t xml:space="preserve">Modelo de atribución de gastos: cuentas, centros de coste, comunes, compartidos y porcentajes</w:t>
            </w:r>
          </w:p>
        </w:tc>
        <w:tc>
          <w:tcPr>
            <w:tcW w:w="3099" w:type="dxa"/>
          </w:tcPr>
          <w:p>
            <w:pPr/>
            <w:r>
              <w:t xml:space="preserve">David Marin y Fátima Sánchez de Pazos</w:t>
            </w:r>
          </w:p>
        </w:tc>
        <w:tc>
          <w:tcPr>
            <w:tcW w:w="1119" w:type="dxa"/>
          </w:tcPr>
          <w:p>
            <w:pPr>
              <w:jc w:val="right"/>
            </w:pPr>
            <w:r>
              <w:t xml:space="preserve">19</w:t>
            </w:r>
          </w:p>
        </w:tc>
        <w:tc>
          <w:tcPr>
            <w:tcW w:w="1608" w:type="dxa"/>
          </w:tcPr>
          <w:p>
            <w:pPr/>
            <w:r>
              <w:t xml:space="preserve">P-135, P-136, P-091</w:t>
            </w:r>
          </w:p>
        </w:tc>
      </w:tr>
      <w:tr>
        <w:trPr>
          <w:cantSplit/>
        </w:trPr>
        <w:tc>
          <w:tcPr>
            <w:tcW w:w="3586" w:type="dxa"/>
          </w:tcPr>
          <w:p>
            <w:pPr/>
            <w:r>
              <w:t xml:space="preserve">Regla de reparto mensual de los meses abiertos del presupuesto y del forecast</w:t>
            </w:r>
          </w:p>
        </w:tc>
        <w:tc>
          <w:tcPr>
            <w:tcW w:w="3099" w:type="dxa"/>
          </w:tcPr>
          <w:p>
            <w:pPr/>
            <w:r>
              <w:t xml:space="preserve">David Marin</w:t>
            </w:r>
          </w:p>
        </w:tc>
        <w:tc>
          <w:tcPr>
            <w:tcW w:w="1119" w:type="dxa"/>
          </w:tcPr>
          <w:p>
            <w:pPr>
              <w:jc w:val="right"/>
            </w:pPr>
            <w:r>
              <w:t xml:space="preserve">19</w:t>
            </w:r>
          </w:p>
        </w:tc>
        <w:tc>
          <w:tcPr>
            <w:tcW w:w="1608" w:type="dxa"/>
          </w:tcPr>
          <w:p>
            <w:pPr/>
            <w:r>
              <w:t xml:space="preserve">P-091, P-092</w:t>
            </w:r>
          </w:p>
        </w:tc>
      </w:tr>
      <w:tr>
        <w:trPr>
          <w:cantSplit/>
        </w:trPr>
        <w:tc>
          <w:tcPr>
            <w:tcW w:w="3586" w:type="dxa"/>
          </w:tcPr>
          <w:p>
            <w:pPr/>
            <w:r>
              <w:t xml:space="preserve">Registro de la dedicación: por cliente, equipo o centro de coste; organigrama con subcentros</w:t>
            </w:r>
          </w:p>
        </w:tc>
        <w:tc>
          <w:tcPr>
            <w:tcW w:w="3099" w:type="dxa"/>
          </w:tcPr>
          <w:p>
            <w:pPr/>
            <w:r>
              <w:t xml:space="preserve">Fátima Sánchez de Pazos, con validación de David</w:t>
            </w:r>
          </w:p>
        </w:tc>
        <w:tc>
          <w:tcPr>
            <w:tcW w:w="1119" w:type="dxa"/>
          </w:tcPr>
          <w:p>
            <w:pPr>
              <w:jc w:val="right"/>
            </w:pPr>
            <w:r>
              <w:t xml:space="preserve">23</w:t>
            </w:r>
          </w:p>
        </w:tc>
        <w:tc>
          <w:tcPr>
            <w:tcW w:w="1608" w:type="dxa"/>
          </w:tcPr>
          <w:p>
            <w:pPr/>
            <w:r>
              <w:t xml:space="preserve">P-151, P-154, P-156</w:t>
            </w:r>
          </w:p>
        </w:tc>
      </w:tr>
      <w:tr>
        <w:trPr>
          <w:cantSplit/>
        </w:trPr>
        <w:tc>
          <w:tcPr>
            <w:tcW w:w="3586" w:type="dxa"/>
          </w:tcPr>
          <w:p>
            <w:pPr/>
            <w:r>
              <w:t xml:space="preserve">Criterio de reparto de un cliente entre secciones</w:t>
            </w:r>
          </w:p>
        </w:tc>
        <w:tc>
          <w:tcPr>
            <w:tcW w:w="3099" w:type="dxa"/>
          </w:tcPr>
          <w:p>
            <w:pPr/>
            <w:r>
              <w:t xml:space="preserve">David Marin</w:t>
            </w:r>
          </w:p>
        </w:tc>
        <w:tc>
          <w:tcPr>
            <w:tcW w:w="1119" w:type="dxa"/>
          </w:tcPr>
          <w:p>
            <w:pPr>
              <w:jc w:val="right"/>
            </w:pPr>
            <w:r>
              <w:t xml:space="preserve">24</w:t>
            </w:r>
          </w:p>
        </w:tc>
        <w:tc>
          <w:tcPr>
            <w:tcW w:w="1608" w:type="dxa"/>
          </w:tcPr>
          <w:p>
            <w:pPr/>
            <w:r>
              <w:t xml:space="preserve">P-122, P-123</w:t>
            </w:r>
          </w:p>
        </w:tc>
      </w:tr>
      <w:tr>
        <w:trPr>
          <w:cantSplit/>
        </w:trPr>
        <w:tc>
          <w:tcPr>
            <w:tcW w:w="3586" w:type="dxa"/>
          </w:tcPr>
          <w:p>
            <w:pPr/>
            <w:r>
              <w:t xml:space="preserve">Herramienta para las directoras (formulario o Excel) y quién la gestiona</w:t>
            </w:r>
          </w:p>
        </w:tc>
        <w:tc>
          <w:tcPr>
            <w:tcW w:w="3099" w:type="dxa"/>
          </w:tcPr>
          <w:p>
            <w:pPr/>
            <w:r>
              <w:t xml:space="preserve">David Marin</w:t>
            </w:r>
          </w:p>
        </w:tc>
        <w:tc>
          <w:tcPr>
            <w:tcW w:w="1119" w:type="dxa"/>
          </w:tcPr>
          <w:p>
            <w:pPr>
              <w:jc w:val="right"/>
            </w:pPr>
            <w:r>
              <w:t xml:space="preserve">21</w:t>
            </w:r>
          </w:p>
        </w:tc>
        <w:tc>
          <w:tcPr>
            <w:tcW w:w="1608" w:type="dxa"/>
          </w:tcPr>
          <w:p>
            <w:pPr/>
            <w:r>
              <w:t xml:space="preserve">P-117, P-119</w:t>
            </w:r>
          </w:p>
        </w:tc>
      </w:tr>
      <w:tr>
        <w:trPr>
          <w:cantSplit/>
        </w:trPr>
        <w:tc>
          <w:tcPr>
            <w:tcW w:w="3586" w:type="dxa"/>
          </w:tcPr>
          <w:p>
            <w:pPr/>
            <w:r>
              <w:t xml:space="preserve">Roles y accesos por usuario; tratamiento del fichero de nóminas</w:t>
            </w:r>
          </w:p>
        </w:tc>
        <w:tc>
          <w:tcPr>
            <w:tcW w:w="3099" w:type="dxa"/>
          </w:tcPr>
          <w:p>
            <w:pPr/>
            <w:r>
              <w:t xml:space="preserve">David Marin</w:t>
            </w:r>
          </w:p>
        </w:tc>
        <w:tc>
          <w:tcPr>
            <w:tcW w:w="1119" w:type="dxa"/>
          </w:tcPr>
          <w:p>
            <w:pPr>
              <w:jc w:val="right"/>
            </w:pPr>
            <w:r>
              <w:t xml:space="preserve">26</w:t>
            </w:r>
          </w:p>
        </w:tc>
        <w:tc>
          <w:tcPr>
            <w:tcW w:w="1608" w:type="dxa"/>
          </w:tcPr>
          <w:p>
            <w:pPr/>
            <w:r>
              <w:t xml:space="preserve">P-188 a P-196</w:t>
            </w:r>
          </w:p>
        </w:tc>
      </w:tr>
      <w:tr>
        <w:trPr>
          <w:cantSplit/>
        </w:trPr>
        <w:tc>
          <w:tcPr>
            <w:tcW w:w="3586" w:type="dxa"/>
          </w:tcPr>
          <w:p>
            <w:pPr/>
            <w:r>
              <w:t xml:space="preserve">Lista de ficheros por cierre, formato y responsable de subirlos</w:t>
            </w:r>
          </w:p>
        </w:tc>
        <w:tc>
          <w:tcPr>
            <w:tcW w:w="3099" w:type="dxa"/>
          </w:tcPr>
          <w:p>
            <w:pPr/>
            <w:r>
              <w:t xml:space="preserve">Josep Zoppetti</w:t>
            </w:r>
          </w:p>
        </w:tc>
        <w:tc>
          <w:tcPr>
            <w:tcW w:w="1119" w:type="dxa"/>
          </w:tcPr>
          <w:p>
            <w:pPr>
              <w:jc w:val="right"/>
            </w:pPr>
            <w:r>
              <w:t xml:space="preserve">1</w:t>
            </w:r>
          </w:p>
        </w:tc>
        <w:tc>
          <w:tcPr>
            <w:tcW w:w="1608" w:type="dxa"/>
          </w:tcPr>
          <w:p>
            <w:pPr/>
            <w:r>
              <w:t xml:space="preserve">P-016, P-214 a P-216</w:t>
            </w:r>
          </w:p>
        </w:tc>
      </w:tr>
      <w:tr>
        <w:trPr>
          <w:cantSplit/>
        </w:trPr>
        <w:tc>
          <w:tcPr>
            <w:tcW w:w="3586" w:type="dxa"/>
          </w:tcPr>
          <w:p>
            <w:pPr/>
            <w:r>
              <w:t xml:space="preserve">Diario de HAPA y presentación de HAPA separada o agregada</w:t>
            </w:r>
          </w:p>
        </w:tc>
        <w:tc>
          <w:tcPr>
            <w:tcW w:w="3099" w:type="dxa"/>
          </w:tcPr>
          <w:p>
            <w:pPr/>
            <w:r>
              <w:t xml:space="preserve">Josep Zoppetti</w:t>
            </w:r>
          </w:p>
        </w:tc>
        <w:tc>
          <w:tcPr>
            <w:tcW w:w="1119" w:type="dxa"/>
          </w:tcPr>
          <w:p>
            <w:pPr>
              <w:jc w:val="right"/>
            </w:pPr>
            <w:r>
              <w:t xml:space="preserve">10</w:t>
            </w:r>
          </w:p>
        </w:tc>
        <w:tc>
          <w:tcPr>
            <w:tcW w:w="1608" w:type="dxa"/>
          </w:tcPr>
          <w:p>
            <w:pPr/>
            <w:r>
              <w:t xml:space="preserve">P-022, P-026</w:t>
            </w:r>
          </w:p>
        </w:tc>
      </w:tr>
      <w:tr>
        <w:trPr>
          <w:cantSplit/>
        </w:trPr>
        <w:tc>
          <w:tcPr>
            <w:tcW w:w="3586" w:type="dxa"/>
          </w:tcPr>
          <w:p>
            <w:pPr/>
            <w:r>
              <w:t xml:space="preserve">Consolidados del cierre (todas, España, España con Portugal, con o sin HAPA)</w:t>
            </w:r>
          </w:p>
        </w:tc>
        <w:tc>
          <w:tcPr>
            <w:tcW w:w="3099" w:type="dxa"/>
          </w:tcPr>
          <w:p>
            <w:pPr/>
            <w:r>
              <w:t xml:space="preserve">Fátima Sánchez de Pazos</w:t>
            </w:r>
          </w:p>
        </w:tc>
        <w:tc>
          <w:tcPr>
            <w:tcW w:w="1119" w:type="dxa"/>
          </w:tcPr>
          <w:p>
            <w:pPr>
              <w:jc w:val="right"/>
            </w:pPr>
            <w:r>
              <w:t xml:space="preserve">4</w:t>
            </w:r>
          </w:p>
        </w:tc>
        <w:tc>
          <w:tcPr>
            <w:tcW w:w="1608" w:type="dxa"/>
          </w:tcPr>
          <w:p>
            <w:pPr/>
            <w:r>
              <w:t xml:space="preserve">P-001</w:t>
            </w:r>
          </w:p>
        </w:tc>
      </w:tr>
    </w:tbl>
    <w:p>
      <w:pPr>
        <w:pStyle w:val="Heading1"/>
      </w:pPr>
      <w:r>
        <w:t xml:space="preserve">Diagnóstico</w:t>
      </w:r>
    </w:p>
    <w:p>
      <w:pPr/>
      <w:r>
        <w:t xml:space="preserve">Valoración de Docenteo, a partir de las actas, las notas internas de septiembre y la reunión de seguimiento:</w:t>
      </w:r>
    </w:p>
    <w:p>
      <w:pPr>
        <w:pStyle w:val="ListNumber"/>
        <w:numPr>
          <w:ilvl w:val="0"/>
          <w:numId w:val="103"/>
        </w:numPr>
      </w:pPr>
      <w:r>
        <w:t xml:space="preserve">La toma de requisitos terminó el 07/05 con el proceso explicado, pero con las decisiones de diseño abiertas y sin responsable. Después hubo presentaciones de la herramienta (las cita el correo de Tinkle), pero no consta, en lo documentado en el repositorio, ninguna sesión para cerrar esas decisiones.</w:t>
      </w:r>
    </w:p>
    <w:p>
      <w:pPr>
        <w:pStyle w:val="ListNumber"/>
        <w:numPr>
          <w:ilvl w:val="0"/>
          <w:numId w:val="103"/>
        </w:numPr>
      </w:pPr>
      <w:r>
        <w:t xml:space="preserve">La construcción se centró en replicar el checklist (balance, P&amp;L y desgloses) y en una primera versión de rentabilidad y TXT. No hubo un ciclo de uso real: no se ha cargado ningún cierre desde marzo.</w:t>
      </w:r>
    </w:p>
    <w:p>
      <w:pPr>
        <w:pStyle w:val="ListNumber"/>
        <w:numPr>
          <w:ilvl w:val="0"/>
          <w:numId w:val="103"/>
        </w:numPr>
      </w:pPr>
      <w:r>
        <w:t xml:space="preserve">Tinkle preparó en primavera una ventana con su equipo y las directoras para adoptar la herramienta, y no se aprovechó. Esa es la causa directa de la pérdida de confianza.</w:t>
      </w:r>
    </w:p>
    <w:p>
      <w:pPr>
        <w:pStyle w:val="ListNumber"/>
        <w:numPr>
          <w:ilvl w:val="0"/>
          <w:numId w:val="103"/>
        </w:numPr>
      </w:pPr>
      <w:r>
        <w:t xml:space="preserve">En las presentaciones se enseñaron datos antiguos y piezas a medias, sin un caso de ahorro medible.</w:t>
      </w:r>
    </w:p>
    <w:p>
      <w:pPr>
        <w:pStyle w:val="ListNumber"/>
        <w:numPr>
          <w:ilvl w:val="0"/>
          <w:numId w:val="103"/>
        </w:numPr>
      </w:pPr>
      <w:r>
        <w:t xml:space="preserve">Las notas internas de septiembre ya recogen que los plazos se alargaron y que no hubo seguimiento.</w:t>
      </w:r>
    </w:p>
    <w:p>
      <w:pPr>
        <w:pStyle w:val="Heading1"/>
      </w:pPr>
      <w:r>
        <w:t xml:space="preserve">Plan hasta finales de enero</w:t>
      </w:r>
    </w:p>
    <w:p>
      <w:pPr/>
      <w:r>
        <w:t xml:space="preserve">Orden pensado para recuperar la confianza primero con lo que ya existe y después construir lo que falta. Jornadas de Docenteo por fase, sumando sus conceptos, de forma tradicional y con IA (sin contingencia).</w:t>
      </w:r>
    </w:p>
    <w:tbl>
      <w:tblPr>
        <w:tblStyle w:val="TablaDocenteo"/>
        <w:tblW w:w="9412" w:type="dxa"/>
        <w:tblLayout w:type="fixed"/>
        <w:tblLook w:val="0420" w:firstRow="1" w:lastRow="0" w:firstColumn="0" w:lastColumn="0" w:noHBand="1" w:noVBand="1"/>
      </w:tblPr>
      <w:tblGrid>
        <w:gridCol w:w="2850"/>
        <w:gridCol w:w="1200"/>
        <w:gridCol w:w="1350"/>
        <w:gridCol w:w="850"/>
        <w:gridCol w:w="1450"/>
        <w:gridCol w:w="1712"/>
      </w:tblGrid>
      <w:tr>
        <w:trPr>
          <w:tblHeader/>
          <w:cantSplit/>
        </w:trPr>
        <w:tc>
          <w:tcPr>
            <w:tcW w:w="2850" w:type="dxa"/>
          </w:tcPr>
          <w:p>
            <w:pPr/>
            <w:r>
              <w:t xml:space="preserve">Fase</w:t>
            </w:r>
          </w:p>
        </w:tc>
        <w:tc>
          <w:tcPr>
            <w:tcW w:w="1200" w:type="dxa"/>
          </w:tcPr>
          <w:p>
            <w:pPr/>
            <w:r>
              <w:t xml:space="preserve">Conceptos</w:t>
            </w:r>
          </w:p>
        </w:tc>
        <w:tc>
          <w:tcPr>
            <w:tcW w:w="1350" w:type="dxa"/>
          </w:tcPr>
          <w:p>
            <w:pPr>
              <w:jc w:val="right"/>
            </w:pPr>
            <w:r>
              <w:t xml:space="preserve">Tradicional</w:t>
            </w:r>
          </w:p>
        </w:tc>
        <w:tc>
          <w:tcPr>
            <w:tcW w:w="850" w:type="dxa"/>
          </w:tcPr>
          <w:p>
            <w:pPr>
              <w:jc w:val="right"/>
            </w:pPr>
            <w:r>
              <w:t xml:space="preserve">Con IA</w:t>
            </w:r>
          </w:p>
        </w:tc>
        <w:tc>
          <w:tcPr>
            <w:tcW w:w="1450" w:type="dxa"/>
          </w:tcPr>
          <w:p>
            <w:pPr/>
            <w:r>
              <w:t xml:space="preserve">Tinkle</w:t>
            </w:r>
          </w:p>
        </w:tc>
        <w:tc>
          <w:tcPr>
            <w:tcW w:w="1712" w:type="dxa"/>
          </w:tcPr>
          <w:p>
            <w:pPr/>
            <w:r>
              <w:t xml:space="preserve">Cuándo</w:t>
            </w:r>
          </w:p>
        </w:tc>
      </w:tr>
      <w:tr>
        <w:trPr>
          <w:cantSplit/>
        </w:trPr>
        <w:tc>
          <w:tcPr>
            <w:tcW w:w="2850" w:type="dxa"/>
          </w:tcPr>
          <w:p>
            <w:pPr/>
            <w:r>
              <w:t xml:space="preserve">0. Recuperar el uso: flujo de carga, datos de abril a octubre, cierre y controles; sesión con Josep con datos actuales</w:t>
            </w:r>
          </w:p>
        </w:tc>
        <w:tc>
          <w:tcPr>
            <w:tcW w:w="1200" w:type="dxa"/>
          </w:tcPr>
          <w:p>
            <w:pPr/>
            <w:r>
              <w:t xml:space="preserve">1, 2, 4, 5, 7</w:t>
            </w:r>
          </w:p>
        </w:tc>
        <w:tc>
          <w:tcPr>
            <w:tcW w:w="1350" w:type="dxa"/>
          </w:tcPr>
          <w:p>
            <w:pPr>
              <w:jc w:val="right"/>
            </w:pPr>
            <w:r>
              <w:t xml:space="preserve">22</w:t>
            </w:r>
          </w:p>
        </w:tc>
        <w:tc>
          <w:tcPr>
            <w:tcW w:w="850" w:type="dxa"/>
          </w:tcPr>
          <w:p>
            <w:pPr>
              <w:jc w:val="right"/>
            </w:pPr>
            <w:r>
              <w:t xml:space="preserve">10,7</w:t>
            </w:r>
          </w:p>
        </w:tc>
        <w:tc>
          <w:tcPr>
            <w:tcW w:w="1450" w:type="dxa"/>
          </w:tcPr>
          <w:p>
            <w:pPr/>
            <w:r>
              <w:t xml:space="preserve">J 5,5, F 1</w:t>
            </w:r>
          </w:p>
        </w:tc>
        <w:tc>
          <w:tcPr>
            <w:tcW w:w="1712" w:type="dxa"/>
          </w:tcPr>
          <w:p>
            <w:pPr/>
            <w:r>
              <w:t xml:space="preserve">Noviembre, semanas 1 y 2</w:t>
            </w:r>
          </w:p>
        </w:tc>
      </w:tr>
      <w:tr>
        <w:trPr>
          <w:cantSplit/>
        </w:trPr>
        <w:tc>
          <w:tcPr>
            <w:tcW w:w="2850" w:type="dxa"/>
          </w:tcPr>
          <w:p>
            <w:pPr/>
            <w:r>
              <w:t xml:space="preserve">1. Reporting de Grupo: siete unidades, cinco tipos que faltan, mapeos, HAPA y Portugal; comparación con Magnitude en los cierres de octubre, noviembre y diciembre</w:t>
            </w:r>
          </w:p>
        </w:tc>
        <w:tc>
          <w:tcPr>
            <w:tcW w:w="1200" w:type="dxa"/>
          </w:tcPr>
          <w:p>
            <w:pPr/>
            <w:r>
              <w:t xml:space="preserve">8, 10 a 15</w:t>
            </w:r>
          </w:p>
        </w:tc>
        <w:tc>
          <w:tcPr>
            <w:tcW w:w="1350" w:type="dxa"/>
          </w:tcPr>
          <w:p>
            <w:pPr>
              <w:jc w:val="right"/>
            </w:pPr>
            <w:r>
              <w:t xml:space="preserve">39</w:t>
            </w:r>
          </w:p>
        </w:tc>
        <w:tc>
          <w:tcPr>
            <w:tcW w:w="850" w:type="dxa"/>
          </w:tcPr>
          <w:p>
            <w:pPr>
              <w:jc w:val="right"/>
            </w:pPr>
            <w:r>
              <w:t xml:space="preserve">18,9</w:t>
            </w:r>
          </w:p>
        </w:tc>
        <w:tc>
          <w:tcPr>
            <w:tcW w:w="1450" w:type="dxa"/>
          </w:tcPr>
          <w:p>
            <w:pPr/>
            <w:r>
              <w:t xml:space="preserve">J 7,5, F 3</w:t>
            </w:r>
          </w:p>
        </w:tc>
        <w:tc>
          <w:tcPr>
            <w:tcW w:w="1712" w:type="dxa"/>
          </w:tcPr>
          <w:p>
            <w:pPr/>
            <w:r>
              <w:t xml:space="preserve">Noviembre a enero, en paralelo con cada cierre</w:t>
            </w:r>
          </w:p>
        </w:tc>
      </w:tr>
      <w:tr>
        <w:trPr>
          <w:cantSplit/>
        </w:trPr>
        <w:tc>
          <w:tcPr>
            <w:tcW w:w="2850" w:type="dxa"/>
          </w:tcPr>
          <w:p>
            <w:pPr/>
            <w:r>
              <w:t xml:space="preserve">2. Seguridad y operación: accesos, salarios, secreto, carpeta de equipo, orquestación y alertas</w:t>
            </w:r>
          </w:p>
        </w:tc>
        <w:tc>
          <w:tcPr>
            <w:tcW w:w="1200" w:type="dxa"/>
          </w:tcPr>
          <w:p>
            <w:pPr/>
            <w:r>
              <w:t xml:space="preserve">26, 27, 28</w:t>
            </w:r>
          </w:p>
        </w:tc>
        <w:tc>
          <w:tcPr>
            <w:tcW w:w="1350" w:type="dxa"/>
          </w:tcPr>
          <w:p>
            <w:pPr>
              <w:jc w:val="right"/>
            </w:pPr>
            <w:r>
              <w:t xml:space="preserve">11,5</w:t>
            </w:r>
          </w:p>
        </w:tc>
        <w:tc>
          <w:tcPr>
            <w:tcW w:w="850" w:type="dxa"/>
          </w:tcPr>
          <w:p>
            <w:pPr>
              <w:jc w:val="right"/>
            </w:pPr>
            <w:r>
              <w:t xml:space="preserve">5,9</w:t>
            </w:r>
          </w:p>
        </w:tc>
        <w:tc>
          <w:tcPr>
            <w:tcW w:w="1450" w:type="dxa"/>
          </w:tcPr>
          <w:p>
            <w:pPr/>
            <w:r>
              <w:t xml:space="preserve">F 0,5, D 0,5, IT 0,5</w:t>
            </w:r>
          </w:p>
        </w:tc>
        <w:tc>
          <w:tcPr>
            <w:tcW w:w="1712" w:type="dxa"/>
          </w:tcPr>
          <w:p>
            <w:pPr/>
            <w:r>
              <w:t xml:space="preserve">Noviembre</w:t>
            </w:r>
          </w:p>
        </w:tc>
      </w:tr>
      <w:tr>
        <w:trPr>
          <w:cantSplit/>
        </w:trPr>
        <w:tc>
          <w:tcPr>
            <w:tcW w:w="2850" w:type="dxa"/>
          </w:tcPr>
          <w:p>
            <w:pPr/>
            <w:r>
              <w:t xml:space="preserve">3. Atribución, personal y rentabilidad: decisiones, organigrama, dedicación, maestro de clientes, MMS y rentabilidad</w:t>
            </w:r>
          </w:p>
        </w:tc>
        <w:tc>
          <w:tcPr>
            <w:tcW w:w="1200" w:type="dxa"/>
          </w:tcPr>
          <w:p>
            <w:pPr/>
            <w:r>
              <w:t xml:space="preserve">17, 18, 19, 23, 24</w:t>
            </w:r>
          </w:p>
        </w:tc>
        <w:tc>
          <w:tcPr>
            <w:tcW w:w="1350" w:type="dxa"/>
          </w:tcPr>
          <w:p>
            <w:pPr>
              <w:jc w:val="right"/>
            </w:pPr>
            <w:r>
              <w:t xml:space="preserve">27</w:t>
            </w:r>
          </w:p>
        </w:tc>
        <w:tc>
          <w:tcPr>
            <w:tcW w:w="850" w:type="dxa"/>
          </w:tcPr>
          <w:p>
            <w:pPr>
              <w:jc w:val="right"/>
            </w:pPr>
            <w:r>
              <w:t xml:space="preserve">12,3</w:t>
            </w:r>
          </w:p>
        </w:tc>
        <w:tc>
          <w:tcPr>
            <w:tcW w:w="1450" w:type="dxa"/>
          </w:tcPr>
          <w:p>
            <w:pPr/>
            <w:r>
              <w:t xml:space="preserve">J 2,5, F 7, D 2,5</w:t>
            </w:r>
          </w:p>
        </w:tc>
        <w:tc>
          <w:tcPr>
            <w:tcW w:w="1712" w:type="dxa"/>
          </w:tcPr>
          <w:p>
            <w:pPr/>
            <w:r>
              <w:t xml:space="preserve">Noviembre (decisiones) y diciembre (construcción)</w:t>
            </w:r>
          </w:p>
        </w:tc>
      </w:tr>
      <w:tr>
        <w:trPr>
          <w:cantSplit/>
        </w:trPr>
        <w:tc>
          <w:tcPr>
            <w:tcW w:w="2850" w:type="dxa"/>
          </w:tcPr>
          <w:p>
            <w:pPr/>
            <w:r>
              <w:t xml:space="preserve">4. Presupuesto y forecast: draft por reglas, captura por directora, exportación a Magnitude; listo para el FT3 de 2027</w:t>
            </w:r>
          </w:p>
        </w:tc>
        <w:tc>
          <w:tcPr>
            <w:tcW w:w="1200" w:type="dxa"/>
          </w:tcPr>
          <w:p>
            <w:pPr/>
            <w:r>
              <w:t xml:space="preserve">20, 21, 22</w:t>
            </w:r>
          </w:p>
        </w:tc>
        <w:tc>
          <w:tcPr>
            <w:tcW w:w="1350" w:type="dxa"/>
          </w:tcPr>
          <w:p>
            <w:pPr>
              <w:jc w:val="right"/>
            </w:pPr>
            <w:r>
              <w:t xml:space="preserve">26</w:t>
            </w:r>
          </w:p>
        </w:tc>
        <w:tc>
          <w:tcPr>
            <w:tcW w:w="850" w:type="dxa"/>
          </w:tcPr>
          <w:p>
            <w:pPr>
              <w:jc w:val="right"/>
            </w:pPr>
            <w:r>
              <w:t xml:space="preserve">12,3</w:t>
            </w:r>
          </w:p>
        </w:tc>
        <w:tc>
          <w:tcPr>
            <w:tcW w:w="1450" w:type="dxa"/>
          </w:tcPr>
          <w:p>
            <w:pPr/>
            <w:r>
              <w:t xml:space="preserve">F 5,5, D 1, Dir 0,5 c/u</w:t>
            </w:r>
          </w:p>
        </w:tc>
        <w:tc>
          <w:tcPr>
            <w:tcW w:w="1712" w:type="dxa"/>
          </w:tcPr>
          <w:p>
            <w:pPr/>
            <w:r>
              <w:t xml:space="preserve">Diciembre y enero (de forma tradicional con 2 personas, febrero)</w:t>
            </w:r>
          </w:p>
        </w:tc>
      </w:tr>
      <w:tr>
        <w:trPr>
          <w:cantSplit/>
        </w:trPr>
        <w:tc>
          <w:tcPr>
            <w:tcW w:w="2850" w:type="dxa"/>
          </w:tcPr>
          <w:p>
            <w:pPr/>
            <w:r>
              <w:t xml:space="preserve">5. Agings y riesgo de crédito</w:t>
            </w:r>
          </w:p>
        </w:tc>
        <w:tc>
          <w:tcPr>
            <w:tcW w:w="1200" w:type="dxa"/>
          </w:tcPr>
          <w:p>
            <w:pPr/>
            <w:r>
              <w:t xml:space="preserve">25</w:t>
            </w:r>
          </w:p>
        </w:tc>
        <w:tc>
          <w:tcPr>
            <w:tcW w:w="1350" w:type="dxa"/>
          </w:tcPr>
          <w:p>
            <w:pPr>
              <w:jc w:val="right"/>
            </w:pPr>
            <w:r>
              <w:t xml:space="preserve">7</w:t>
            </w:r>
          </w:p>
        </w:tc>
        <w:tc>
          <w:tcPr>
            <w:tcW w:w="850" w:type="dxa"/>
          </w:tcPr>
          <w:p>
            <w:pPr>
              <w:jc w:val="right"/>
            </w:pPr>
            <w:r>
              <w:t xml:space="preserve">3,2</w:t>
            </w:r>
          </w:p>
        </w:tc>
        <w:tc>
          <w:tcPr>
            <w:tcW w:w="1450" w:type="dxa"/>
          </w:tcPr>
          <w:p>
            <w:pPr/>
            <w:r>
              <w:t xml:space="preserve">F 1,5</w:t>
            </w:r>
          </w:p>
        </w:tc>
        <w:tc>
          <w:tcPr>
            <w:tcW w:w="1712" w:type="dxa"/>
          </w:tcPr>
          <w:p>
            <w:pPr/>
            <w:r>
              <w:t xml:space="preserve">Enero</w:t>
            </w:r>
          </w:p>
        </w:tc>
      </w:tr>
      <w:tr>
        <w:trPr>
          <w:cantSplit/>
        </w:trPr>
        <w:tc>
          <w:tcPr>
            <w:tcW w:w="2850" w:type="dxa"/>
          </w:tcPr>
          <w:p>
            <w:pPr/>
            <w:r>
              <w:t xml:space="preserve">Transversal: gobierno, seguimiento y formación</w:t>
            </w:r>
          </w:p>
        </w:tc>
        <w:tc>
          <w:tcPr>
            <w:tcW w:w="1200" w:type="dxa"/>
          </w:tcPr>
          <w:p>
            <w:pPr/>
            <w:r>
              <w:t xml:space="preserve">29</w:t>
            </w:r>
          </w:p>
        </w:tc>
        <w:tc>
          <w:tcPr>
            <w:tcW w:w="1350" w:type="dxa"/>
          </w:tcPr>
          <w:p>
            <w:pPr>
              <w:jc w:val="right"/>
            </w:pPr>
            <w:r>
              <w:t xml:space="preserve">10</w:t>
            </w:r>
          </w:p>
        </w:tc>
        <w:tc>
          <w:tcPr>
            <w:tcW w:w="850" w:type="dxa"/>
          </w:tcPr>
          <w:p>
            <w:pPr>
              <w:jc w:val="right"/>
            </w:pPr>
            <w:r>
              <w:t xml:space="preserve">9,1</w:t>
            </w:r>
          </w:p>
        </w:tc>
        <w:tc>
          <w:tcPr>
            <w:tcW w:w="1450" w:type="dxa"/>
          </w:tcPr>
          <w:p>
            <w:pPr/>
            <w:r>
              <w:t xml:space="preserve">J 2, F 2, D 1</w:t>
            </w:r>
          </w:p>
        </w:tc>
        <w:tc>
          <w:tcPr>
            <w:tcW w:w="1712" w:type="dxa"/>
          </w:tcPr>
          <w:p>
            <w:pPr/>
            <w:r>
              <w:t xml:space="preserve">Todo el periodo</w:t>
            </w:r>
          </w:p>
        </w:tc>
      </w:tr>
      <w:tr>
        <w:trPr>
          <w:cantSplit/>
        </w:trPr>
        <w:tc>
          <w:tcPr>
            <w:tcW w:w="2850" w:type="dxa"/>
          </w:tcPr>
          <w:p>
            <w:pPr/>
            <w:r>
              <w:t xml:space="preserve">Posterior: automatización, trazabilidad, cuentas X y cambio de Magnitude</w:t>
            </w:r>
          </w:p>
        </w:tc>
        <w:tc>
          <w:tcPr>
            <w:tcW w:w="1200" w:type="dxa"/>
          </w:tcPr>
          <w:p>
            <w:pPr/>
            <w:r>
              <w:t xml:space="preserve">3, 6, 9, 16</w:t>
            </w:r>
          </w:p>
        </w:tc>
        <w:tc>
          <w:tcPr>
            <w:tcW w:w="1350" w:type="dxa"/>
          </w:tcPr>
          <w:p>
            <w:pPr>
              <w:jc w:val="right"/>
            </w:pPr>
            <w:r>
              <w:t xml:space="preserve">11</w:t>
            </w:r>
          </w:p>
        </w:tc>
        <w:tc>
          <w:tcPr>
            <w:tcW w:w="850" w:type="dxa"/>
          </w:tcPr>
          <w:p>
            <w:pPr>
              <w:jc w:val="right"/>
            </w:pPr>
            <w:r>
              <w:t xml:space="preserve">5</w:t>
            </w:r>
          </w:p>
        </w:tc>
        <w:tc>
          <w:tcPr>
            <w:tcW w:w="1450" w:type="dxa"/>
          </w:tcPr>
          <w:p>
            <w:pPr/>
            <w:r>
              <w:t xml:space="preserve">J 2,5, F 0,5</w:t>
            </w:r>
          </w:p>
        </w:tc>
        <w:tc>
          <w:tcPr>
            <w:tcW w:w="1712" w:type="dxa"/>
          </w:tcPr>
          <w:p>
            <w:pPr/>
            <w:r>
              <w:t xml:space="preserve">Desde febrero</w:t>
            </w:r>
          </w:p>
        </w:tc>
      </w:tr>
      <w:tr>
        <w:trPr>
          <w:cantSplit/>
        </w:trPr>
        <w:tc>
          <w:tcPr>
            <w:tcW w:w="2850" w:type="dxa"/>
          </w:tcPr>
          <w:p>
            <w:pPr/>
            <w:r>
              <w:rPr>
                <w:rStyle w:val="nfasis"/>
              </w:rPr>
              <w:t xml:space="preserve">Total</w:t>
            </w:r>
          </w:p>
        </w:tc>
        <w:tc>
          <w:tcPr>
            <w:tcW w:w="1200" w:type="dxa"/>
          </w:tcPr>
          <w:p>
            <w:pPr/>
          </w:p>
        </w:tc>
        <w:tc>
          <w:tcPr>
            <w:tcW w:w="1350" w:type="dxa"/>
          </w:tcPr>
          <w:p>
            <w:pPr>
              <w:jc w:val="right"/>
            </w:pPr>
            <w:r>
              <w:rPr>
                <w:rStyle w:val="nfasis"/>
              </w:rPr>
              <w:t xml:space="preserve">153,5</w:t>
            </w:r>
          </w:p>
        </w:tc>
        <w:tc>
          <w:tcPr>
            <w:tcW w:w="850" w:type="dxa"/>
          </w:tcPr>
          <w:p>
            <w:pPr>
              <w:jc w:val="right"/>
            </w:pPr>
            <w:r>
              <w:rPr>
                <w:rStyle w:val="nfasis"/>
              </w:rPr>
              <w:t xml:space="preserve">77,4</w:t>
            </w:r>
          </w:p>
        </w:tc>
        <w:tc>
          <w:tcPr>
            <w:tcW w:w="1450" w:type="dxa"/>
          </w:tcPr>
          <w:p>
            <w:pPr/>
            <w:r>
              <w:rPr>
                <w:rStyle w:val="nfasis"/>
              </w:rPr>
              <w:t xml:space="preserve">J 20, F 21, D 5, Dir 0,5 c/u, IT 0,5</w:t>
            </w:r>
          </w:p>
        </w:tc>
        <w:tc>
          <w:tcPr>
            <w:tcW w:w="1712" w:type="dxa"/>
          </w:tcPr>
          <w:p>
            <w:pPr/>
          </w:p>
        </w:tc>
      </w:tr>
    </w:tbl>
    <w:p>
      <w:pPr/>
      <w:r>
        <w:t xml:space="preserve">La columna "Tinkle" es la base de la estimación por persona que ha pedido Tinkle. Conviene presentarla junto con las decisiones de la sección 6, porque sin ellas las fases 3 y 4 no se pueden cumplir en plazo.</w:t>
      </w:r>
    </w:p>
    <w:p>
      <w:pPr>
        <w:pStyle w:val="Heading1"/>
      </w:pPr>
      <w:r>
        <w:t xml:space="preserve">Estimación detallada por tareas</w:t>
      </w:r>
    </w:p>
    <w:p>
      <w:pPr/>
      <w:r>
        <w:t xml:space="preserve">Jornadas de Docenteo por tarea; la suma de cada concepto es la de la sección 1. Entre paréntesis, la aportación de Tinkle.</w:t>
      </w:r>
    </w:p>
    <w:tbl>
      <w:tblPr>
        <w:tblStyle w:val="TablaDocenteo"/>
        <w:tblW w:w="9412" w:type="dxa"/>
        <w:tblLayout w:type="fixed"/>
        <w:tblLook w:val="0420" w:firstRow="1" w:lastRow="0" w:firstColumn="0" w:lastColumn="0" w:noHBand="1" w:noVBand="1"/>
      </w:tblPr>
      <w:tblGrid>
        <w:gridCol w:w="450"/>
        <w:gridCol w:w="1650"/>
        <w:gridCol w:w="3600"/>
        <w:gridCol w:w="1350"/>
        <w:gridCol w:w="850"/>
        <w:gridCol w:w="1512"/>
      </w:tblGrid>
      <w:tr>
        <w:trPr>
          <w:tblHeader/>
          <w:cantSplit/>
        </w:trPr>
        <w:tc>
          <w:tcPr>
            <w:tcW w:w="450" w:type="dxa"/>
          </w:tcPr>
          <w:p>
            <w:pPr>
              <w:jc w:val="right"/>
            </w:pPr>
            <w:r>
              <w:t xml:space="preserve">Nº</w:t>
            </w:r>
          </w:p>
        </w:tc>
        <w:tc>
          <w:tcPr>
            <w:tcW w:w="1650" w:type="dxa"/>
          </w:tcPr>
          <w:p>
            <w:pPr/>
            <w:r>
              <w:t xml:space="preserve">Concepto</w:t>
            </w:r>
          </w:p>
        </w:tc>
        <w:tc>
          <w:tcPr>
            <w:tcW w:w="3600" w:type="dxa"/>
          </w:tcPr>
          <w:p>
            <w:pPr/>
            <w:r>
              <w:t xml:space="preserve">Tareas (jornadas, estimación tradicional)</w:t>
            </w:r>
          </w:p>
        </w:tc>
        <w:tc>
          <w:tcPr>
            <w:tcW w:w="1350" w:type="dxa"/>
          </w:tcPr>
          <w:p>
            <w:pPr>
              <w:jc w:val="right"/>
            </w:pPr>
            <w:r>
              <w:t xml:space="preserve">Tradicional</w:t>
            </w:r>
          </w:p>
        </w:tc>
        <w:tc>
          <w:tcPr>
            <w:tcW w:w="850" w:type="dxa"/>
          </w:tcPr>
          <w:p>
            <w:pPr>
              <w:jc w:val="right"/>
            </w:pPr>
            <w:r>
              <w:t xml:space="preserve">Con IA</w:t>
            </w:r>
          </w:p>
        </w:tc>
        <w:tc>
          <w:tcPr>
            <w:tcW w:w="1512" w:type="dxa"/>
          </w:tcPr>
          <w:p>
            <w:pPr/>
            <w:r>
              <w:t xml:space="preserve">Tinkle</w:t>
            </w:r>
          </w:p>
        </w:tc>
      </w:tr>
      <w:tr>
        <w:trPr>
          <w:cantSplit/>
        </w:trPr>
        <w:tc>
          <w:tcPr>
            <w:tcW w:w="450" w:type="dxa"/>
          </w:tcPr>
          <w:p>
            <w:pPr>
              <w:jc w:val="right"/>
            </w:pPr>
            <w:r>
              <w:t xml:space="preserve">1</w:t>
            </w:r>
          </w:p>
        </w:tc>
        <w:tc>
          <w:tcPr>
            <w:tcW w:w="1650" w:type="dxa"/>
          </w:tcPr>
          <w:p>
            <w:pPr/>
            <w:r>
              <w:t xml:space="preserve">Flujo de carga</w:t>
            </w:r>
          </w:p>
        </w:tc>
        <w:tc>
          <w:tcPr>
            <w:tcW w:w="3600" w:type="dxa"/>
          </w:tcPr>
          <w:p>
            <w:pPr/>
            <w:r>
              <w:t xml:space="preserve">Inventario y procedimiento escrito por cierre 1; ajustar los dataflows a ficheros en bruto 1,5; carpeta de equipo y cambio del shortcut 0,5</w:t>
            </w:r>
          </w:p>
        </w:tc>
        <w:tc>
          <w:tcPr>
            <w:tcW w:w="1350" w:type="dxa"/>
          </w:tcPr>
          <w:p>
            <w:pPr>
              <w:jc w:val="right"/>
            </w:pPr>
            <w:r>
              <w:t xml:space="preserve">3</w:t>
            </w:r>
          </w:p>
        </w:tc>
        <w:tc>
          <w:tcPr>
            <w:tcW w:w="850" w:type="dxa"/>
          </w:tcPr>
          <w:p>
            <w:pPr>
              <w:jc w:val="right"/>
            </w:pPr>
            <w:r>
              <w:t xml:space="preserve">1,5</w:t>
            </w:r>
          </w:p>
        </w:tc>
        <w:tc>
          <w:tcPr>
            <w:tcW w:w="1512" w:type="dxa"/>
          </w:tcPr>
          <w:p>
            <w:pPr/>
            <w:r>
              <w:t xml:space="preserve">J 1 (validar el procedimiento y mover la carpeta)</w:t>
            </w:r>
          </w:p>
        </w:tc>
      </w:tr>
      <w:tr>
        <w:trPr>
          <w:cantSplit/>
        </w:trPr>
        <w:tc>
          <w:tcPr>
            <w:tcW w:w="450" w:type="dxa"/>
          </w:tcPr>
          <w:p>
            <w:pPr>
              <w:jc w:val="right"/>
            </w:pPr>
            <w:r>
              <w:t xml:space="preserve">2</w:t>
            </w:r>
          </w:p>
        </w:tc>
        <w:tc>
          <w:tcPr>
            <w:tcW w:w="1650" w:type="dxa"/>
          </w:tcPr>
          <w:p>
            <w:pPr/>
            <w:r>
              <w:t xml:space="preserve">Puesta al día</w:t>
            </w:r>
          </w:p>
        </w:tc>
        <w:tc>
          <w:tcPr>
            <w:tcW w:w="3600" w:type="dxa"/>
          </w:tcPr>
          <w:p>
            <w:pPr/>
            <w:r>
              <w:t xml:space="preserve">Carga y revisión de los cierres de abril a octubre 2,5; FT8 de 2026 y maestros 0,5; HAPA y Portugal del periodo 1</w:t>
            </w:r>
          </w:p>
        </w:tc>
        <w:tc>
          <w:tcPr>
            <w:tcW w:w="1350" w:type="dxa"/>
          </w:tcPr>
          <w:p>
            <w:pPr>
              <w:jc w:val="right"/>
            </w:pPr>
            <w:r>
              <w:t xml:space="preserve">4</w:t>
            </w:r>
          </w:p>
        </w:tc>
        <w:tc>
          <w:tcPr>
            <w:tcW w:w="850" w:type="dxa"/>
          </w:tcPr>
          <w:p>
            <w:pPr>
              <w:jc w:val="right"/>
            </w:pPr>
            <w:r>
              <w:t xml:space="preserve">3,2</w:t>
            </w:r>
          </w:p>
        </w:tc>
        <w:tc>
          <w:tcPr>
            <w:tcW w:w="1512" w:type="dxa"/>
          </w:tcPr>
          <w:p>
            <w:pPr/>
            <w:r>
              <w:t xml:space="preserve">J 2 (extraer siete meses)</w:t>
            </w:r>
          </w:p>
        </w:tc>
      </w:tr>
      <w:tr>
        <w:trPr>
          <w:cantSplit/>
        </w:trPr>
        <w:tc>
          <w:tcPr>
            <w:tcW w:w="450" w:type="dxa"/>
          </w:tcPr>
          <w:p>
            <w:pPr>
              <w:jc w:val="right"/>
            </w:pPr>
            <w:r>
              <w:t xml:space="preserve">3</w:t>
            </w:r>
          </w:p>
        </w:tc>
        <w:tc>
          <w:tcPr>
            <w:tcW w:w="1650" w:type="dxa"/>
          </w:tcPr>
          <w:p>
            <w:pPr/>
            <w:r>
              <w:t xml:space="preserve">Automatización</w:t>
            </w:r>
          </w:p>
        </w:tc>
        <w:tc>
          <w:tcPr>
            <w:tcW w:w="3600" w:type="dxa"/>
          </w:tcPr>
          <w:p>
            <w:pPr/>
            <w:r>
              <w:t xml:space="preserve">Análisis de opciones con IT del Grupo 1; prototipo de exportación programada 3; lectura de MMS 1</w:t>
            </w:r>
          </w:p>
        </w:tc>
        <w:tc>
          <w:tcPr>
            <w:tcW w:w="1350" w:type="dxa"/>
          </w:tcPr>
          <w:p>
            <w:pPr>
              <w:jc w:val="right"/>
            </w:pPr>
            <w:r>
              <w:t xml:space="preserve">5</w:t>
            </w:r>
          </w:p>
        </w:tc>
        <w:tc>
          <w:tcPr>
            <w:tcW w:w="850" w:type="dxa"/>
          </w:tcPr>
          <w:p>
            <w:pPr>
              <w:jc w:val="right"/>
            </w:pPr>
            <w:r>
              <w:t xml:space="preserve">2,6</w:t>
            </w:r>
          </w:p>
        </w:tc>
        <w:tc>
          <w:tcPr>
            <w:tcW w:w="1512" w:type="dxa"/>
          </w:tcPr>
          <w:p>
            <w:pPr/>
            <w:r>
              <w:t xml:space="preserve">J 1</w:t>
            </w:r>
          </w:p>
        </w:tc>
      </w:tr>
      <w:tr>
        <w:trPr>
          <w:cantSplit/>
        </w:trPr>
        <w:tc>
          <w:tcPr>
            <w:tcW w:w="450" w:type="dxa"/>
          </w:tcPr>
          <w:p>
            <w:pPr>
              <w:jc w:val="right"/>
            </w:pPr>
            <w:r>
              <w:t xml:space="preserve">4</w:t>
            </w:r>
          </w:p>
        </w:tc>
        <w:tc>
          <w:tcPr>
            <w:tcW w:w="1650" w:type="dxa"/>
          </w:tcPr>
          <w:p>
            <w:pPr/>
            <w:r>
              <w:t xml:space="preserve">Consolidados y vistas</w:t>
            </w:r>
          </w:p>
        </w:tc>
        <w:tc>
          <w:tcPr>
            <w:tcW w:w="3600" w:type="dxa"/>
          </w:tcPr>
          <w:p>
            <w:pPr/>
            <w:r>
              <w:t xml:space="preserve">Tres consolidados más HAPA opcional 1,5; vista mensual y acumulada con edición de referencia 2; foto fija del cierre 0,5</w:t>
            </w:r>
          </w:p>
        </w:tc>
        <w:tc>
          <w:tcPr>
            <w:tcW w:w="1350" w:type="dxa"/>
          </w:tcPr>
          <w:p>
            <w:pPr>
              <w:jc w:val="right"/>
            </w:pPr>
            <w:r>
              <w:t xml:space="preserve">4</w:t>
            </w:r>
          </w:p>
        </w:tc>
        <w:tc>
          <w:tcPr>
            <w:tcW w:w="850" w:type="dxa"/>
          </w:tcPr>
          <w:p>
            <w:pPr>
              <w:jc w:val="right"/>
            </w:pPr>
            <w:r>
              <w:t xml:space="preserve">1,6</w:t>
            </w:r>
          </w:p>
        </w:tc>
        <w:tc>
          <w:tcPr>
            <w:tcW w:w="1512" w:type="dxa"/>
          </w:tcPr>
          <w:p>
            <w:pPr/>
            <w:r>
              <w:t xml:space="preserve">F 1 (validar)</w:t>
            </w:r>
          </w:p>
        </w:tc>
      </w:tr>
      <w:tr>
        <w:trPr>
          <w:cantSplit/>
        </w:trPr>
        <w:tc>
          <w:tcPr>
            <w:tcW w:w="450" w:type="dxa"/>
          </w:tcPr>
          <w:p>
            <w:pPr>
              <w:jc w:val="right"/>
            </w:pPr>
            <w:r>
              <w:t xml:space="preserve">5</w:t>
            </w:r>
          </w:p>
        </w:tc>
        <w:tc>
          <w:tcPr>
            <w:tcW w:w="1650" w:type="dxa"/>
          </w:tcPr>
          <w:p>
            <w:pPr/>
            <w:r>
              <w:t xml:space="preserve">Desgloses</w:t>
            </w:r>
          </w:p>
        </w:tc>
        <w:tc>
          <w:tcPr>
            <w:tcW w:w="3600" w:type="dxa"/>
          </w:tcPr>
          <w:p>
            <w:pPr/>
            <w:r>
              <w:t xml:space="preserve">Páginas de provisiones, personal, impuestos, periodificaciones, fianzas, gastos y alquileres 5; documentar las pestañas 1</w:t>
            </w:r>
          </w:p>
        </w:tc>
        <w:tc>
          <w:tcPr>
            <w:tcW w:w="1350" w:type="dxa"/>
          </w:tcPr>
          <w:p>
            <w:pPr>
              <w:jc w:val="right"/>
            </w:pPr>
            <w:r>
              <w:t xml:space="preserve">6</w:t>
            </w:r>
          </w:p>
        </w:tc>
        <w:tc>
          <w:tcPr>
            <w:tcW w:w="850" w:type="dxa"/>
          </w:tcPr>
          <w:p>
            <w:pPr>
              <w:jc w:val="right"/>
            </w:pPr>
            <w:r>
              <w:t xml:space="preserve">2,4</w:t>
            </w:r>
          </w:p>
        </w:tc>
        <w:tc>
          <w:tcPr>
            <w:tcW w:w="1512" w:type="dxa"/>
          </w:tcPr>
          <w:p>
            <w:pPr/>
            <w:r>
              <w:t xml:space="preserve">J 1,5 (explicar y validar)</w:t>
            </w:r>
          </w:p>
        </w:tc>
      </w:tr>
      <w:tr>
        <w:trPr>
          <w:cantSplit/>
        </w:trPr>
        <w:tc>
          <w:tcPr>
            <w:tcW w:w="450" w:type="dxa"/>
          </w:tcPr>
          <w:p>
            <w:pPr>
              <w:jc w:val="right"/>
            </w:pPr>
            <w:r>
              <w:t xml:space="preserve">6</w:t>
            </w:r>
          </w:p>
        </w:tc>
        <w:tc>
          <w:tcPr>
            <w:tcW w:w="1650" w:type="dxa"/>
          </w:tcPr>
          <w:p>
            <w:pPr/>
            <w:r>
              <w:t xml:space="preserve">Trazabilidad</w:t>
            </w:r>
          </w:p>
        </w:tc>
        <w:tc>
          <w:tcPr>
            <w:tcW w:w="3600" w:type="dxa"/>
          </w:tcPr>
          <w:p>
            <w:pPr/>
            <w:r>
              <w:t xml:space="preserve">Navegación de saldo a asiento en Oracle 2; Portugal y HAPA según su detalle 1</w:t>
            </w:r>
          </w:p>
        </w:tc>
        <w:tc>
          <w:tcPr>
            <w:tcW w:w="1350" w:type="dxa"/>
          </w:tcPr>
          <w:p>
            <w:pPr>
              <w:jc w:val="right"/>
            </w:pPr>
            <w:r>
              <w:t xml:space="preserve">3</w:t>
            </w:r>
          </w:p>
        </w:tc>
        <w:tc>
          <w:tcPr>
            <w:tcW w:w="850" w:type="dxa"/>
          </w:tcPr>
          <w:p>
            <w:pPr>
              <w:jc w:val="right"/>
            </w:pPr>
            <w:r>
              <w:t xml:space="preserve">1,2</w:t>
            </w:r>
          </w:p>
        </w:tc>
        <w:tc>
          <w:tcPr>
            <w:tcW w:w="1512" w:type="dxa"/>
          </w:tcPr>
          <w:p>
            <w:pPr/>
            <w:r>
              <w:t xml:space="preserve">J 0,5</w:t>
            </w:r>
          </w:p>
        </w:tc>
      </w:tr>
      <w:tr>
        <w:trPr>
          <w:cantSplit/>
        </w:trPr>
        <w:tc>
          <w:tcPr>
            <w:tcW w:w="450" w:type="dxa"/>
          </w:tcPr>
          <w:p>
            <w:pPr>
              <w:jc w:val="right"/>
            </w:pPr>
            <w:r>
              <w:t xml:space="preserve">7</w:t>
            </w:r>
          </w:p>
        </w:tc>
        <w:tc>
          <w:tcPr>
            <w:tcW w:w="1650" w:type="dxa"/>
          </w:tcPr>
          <w:p>
            <w:pPr/>
            <w:r>
              <w:t xml:space="preserve">Controles</w:t>
            </w:r>
          </w:p>
        </w:tc>
        <w:tc>
          <w:tcPr>
            <w:tcW w:w="3600" w:type="dxa"/>
          </w:tcPr>
          <w:p>
            <w:pPr/>
            <w:r>
              <w:t xml:space="preserve">Sumas y saldos y resultado por sociedad 1,5; intercompany y 4000 y 430 contra agings 1,5; redondeos y cuentas sin mapear 1; página de semáforo y bloqueo de TXT 1</w:t>
            </w:r>
          </w:p>
        </w:tc>
        <w:tc>
          <w:tcPr>
            <w:tcW w:w="1350" w:type="dxa"/>
          </w:tcPr>
          <w:p>
            <w:pPr>
              <w:jc w:val="right"/>
            </w:pPr>
            <w:r>
              <w:t xml:space="preserve">5</w:t>
            </w:r>
          </w:p>
        </w:tc>
        <w:tc>
          <w:tcPr>
            <w:tcW w:w="850" w:type="dxa"/>
          </w:tcPr>
          <w:p>
            <w:pPr>
              <w:jc w:val="right"/>
            </w:pPr>
            <w:r>
              <w:t xml:space="preserve">2</w:t>
            </w:r>
          </w:p>
        </w:tc>
        <w:tc>
          <w:tcPr>
            <w:tcW w:w="1512" w:type="dxa"/>
          </w:tcPr>
          <w:p>
            <w:pPr/>
            <w:r>
              <w:t xml:space="preserve">J 1 (validar en un cierre)</w:t>
            </w:r>
          </w:p>
        </w:tc>
      </w:tr>
      <w:tr>
        <w:trPr>
          <w:cantSplit/>
        </w:trPr>
        <w:tc>
          <w:tcPr>
            <w:tcW w:w="450" w:type="dxa"/>
          </w:tcPr>
          <w:p>
            <w:pPr>
              <w:jc w:val="right"/>
            </w:pPr>
            <w:r>
              <w:t xml:space="preserve">8</w:t>
            </w:r>
          </w:p>
        </w:tc>
        <w:tc>
          <w:tcPr>
            <w:tcW w:w="1650" w:type="dxa"/>
          </w:tcPr>
          <w:p>
            <w:pPr/>
            <w:r>
              <w:t xml:space="preserve">Mapeos</w:t>
            </w:r>
          </w:p>
        </w:tc>
        <w:tc>
          <w:tcPr>
            <w:tcW w:w="3600" w:type="dxa"/>
          </w:tcPr>
          <w:p>
            <w:pPr/>
            <w:r>
              <w:t xml:space="preserve">Tabla de mapeos con vigencia 2,5; recálculo y vuelta a una versión anterior 1,5; alta mensual asistida 1</w:t>
            </w:r>
          </w:p>
        </w:tc>
        <w:tc>
          <w:tcPr>
            <w:tcW w:w="1350" w:type="dxa"/>
          </w:tcPr>
          <w:p>
            <w:pPr>
              <w:jc w:val="right"/>
            </w:pPr>
            <w:r>
              <w:t xml:space="preserve">5</w:t>
            </w:r>
          </w:p>
        </w:tc>
        <w:tc>
          <w:tcPr>
            <w:tcW w:w="850" w:type="dxa"/>
          </w:tcPr>
          <w:p>
            <w:pPr>
              <w:jc w:val="right"/>
            </w:pPr>
            <w:r>
              <w:t xml:space="preserve">2</w:t>
            </w:r>
          </w:p>
        </w:tc>
        <w:tc>
          <w:tcPr>
            <w:tcW w:w="1512" w:type="dxa"/>
          </w:tcPr>
          <w:p>
            <w:pPr/>
            <w:r>
              <w:t xml:space="preserve">J 1</w:t>
            </w:r>
          </w:p>
        </w:tc>
      </w:tr>
      <w:tr>
        <w:trPr>
          <w:cantSplit/>
        </w:trPr>
        <w:tc>
          <w:tcPr>
            <w:tcW w:w="450" w:type="dxa"/>
          </w:tcPr>
          <w:p>
            <w:pPr>
              <w:jc w:val="right"/>
            </w:pPr>
            <w:r>
              <w:t xml:space="preserve">9</w:t>
            </w:r>
          </w:p>
        </w:tc>
        <w:tc>
          <w:tcPr>
            <w:tcW w:w="1650" w:type="dxa"/>
          </w:tcPr>
          <w:p>
            <w:pPr/>
            <w:r>
              <w:t xml:space="preserve">Cuentas X</w:t>
            </w:r>
          </w:p>
        </w:tc>
        <w:tc>
          <w:tcPr>
            <w:tcW w:w="3600" w:type="dxa"/>
          </w:tcPr>
          <w:p>
            <w:pPr/>
            <w:r>
              <w:t xml:space="preserve">Exclusiones (X 999, duplicadas y estadística) 1,5; detalle por cliente frente a Magnitude 1,5</w:t>
            </w:r>
          </w:p>
        </w:tc>
        <w:tc>
          <w:tcPr>
            <w:tcW w:w="1350" w:type="dxa"/>
          </w:tcPr>
          <w:p>
            <w:pPr>
              <w:jc w:val="right"/>
            </w:pPr>
            <w:r>
              <w:t xml:space="preserve">3</w:t>
            </w:r>
          </w:p>
        </w:tc>
        <w:tc>
          <w:tcPr>
            <w:tcW w:w="850" w:type="dxa"/>
          </w:tcPr>
          <w:p>
            <w:pPr>
              <w:jc w:val="right"/>
            </w:pPr>
            <w:r>
              <w:t xml:space="preserve">1,2</w:t>
            </w:r>
          </w:p>
        </w:tc>
        <w:tc>
          <w:tcPr>
            <w:tcW w:w="1512" w:type="dxa"/>
          </w:tcPr>
          <w:p>
            <w:pPr/>
            <w:r>
              <w:t xml:space="preserve">J 1, F 0,5</w:t>
            </w:r>
          </w:p>
        </w:tc>
      </w:tr>
      <w:tr>
        <w:trPr>
          <w:cantSplit/>
        </w:trPr>
        <w:tc>
          <w:tcPr>
            <w:tcW w:w="450" w:type="dxa"/>
          </w:tcPr>
          <w:p>
            <w:pPr>
              <w:jc w:val="right"/>
            </w:pPr>
            <w:r>
              <w:t xml:space="preserve">10</w:t>
            </w:r>
          </w:p>
        </w:tc>
        <w:tc>
          <w:tcPr>
            <w:tcW w:w="1650" w:type="dxa"/>
          </w:tcPr>
          <w:p>
            <w:pPr/>
            <w:r>
              <w:t xml:space="preserve">HAPA</w:t>
            </w:r>
          </w:p>
        </w:tc>
        <w:tc>
          <w:tcPr>
            <w:tcW w:w="3600" w:type="dxa"/>
          </w:tcPr>
          <w:p>
            <w:pPr/>
            <w:r>
              <w:t xml:space="preserve">Balancete, mapeo y checklist propio 2,5; impuesto de sociedades 0,5; TXT de ESP073 1; diario cuando exista 1</w:t>
            </w:r>
          </w:p>
        </w:tc>
        <w:tc>
          <w:tcPr>
            <w:tcW w:w="1350" w:type="dxa"/>
          </w:tcPr>
          <w:p>
            <w:pPr>
              <w:jc w:val="right"/>
            </w:pPr>
            <w:r>
              <w:t xml:space="preserve">5</w:t>
            </w:r>
          </w:p>
        </w:tc>
        <w:tc>
          <w:tcPr>
            <w:tcW w:w="850" w:type="dxa"/>
          </w:tcPr>
          <w:p>
            <w:pPr>
              <w:jc w:val="right"/>
            </w:pPr>
            <w:r>
              <w:t xml:space="preserve">2</w:t>
            </w:r>
          </w:p>
        </w:tc>
        <w:tc>
          <w:tcPr>
            <w:tcW w:w="1512" w:type="dxa"/>
          </w:tcPr>
          <w:p>
            <w:pPr/>
            <w:r>
              <w:t xml:space="preserve">J 2 (diario con la contabilidad de HAPA)</w:t>
            </w:r>
          </w:p>
        </w:tc>
      </w:tr>
      <w:tr>
        <w:trPr>
          <w:cantSplit/>
        </w:trPr>
        <w:tc>
          <w:tcPr>
            <w:tcW w:w="450" w:type="dxa"/>
          </w:tcPr>
          <w:p>
            <w:pPr>
              <w:jc w:val="right"/>
            </w:pPr>
            <w:r>
              <w:t xml:space="preserve">11</w:t>
            </w:r>
          </w:p>
        </w:tc>
        <w:tc>
          <w:tcPr>
            <w:tcW w:w="1650" w:type="dxa"/>
          </w:tcPr>
          <w:p>
            <w:pPr/>
            <w:r>
              <w:t xml:space="preserve">Portugal</w:t>
            </w:r>
          </w:p>
        </w:tc>
        <w:tc>
          <w:tcPr>
            <w:tcW w:w="3600" w:type="dxa"/>
          </w:tcPr>
          <w:p>
            <w:pPr/>
            <w:r>
              <w:t xml:space="preserve">Detalle con su plan de cuentas 1; impuesto de sociedades al 21 % 1; facturación por cliente 1; TXT de PTE019 1</w:t>
            </w:r>
          </w:p>
        </w:tc>
        <w:tc>
          <w:tcPr>
            <w:tcW w:w="1350" w:type="dxa"/>
          </w:tcPr>
          <w:p>
            <w:pPr>
              <w:jc w:val="right"/>
            </w:pPr>
            <w:r>
              <w:t xml:space="preserve">4</w:t>
            </w:r>
          </w:p>
        </w:tc>
        <w:tc>
          <w:tcPr>
            <w:tcW w:w="850" w:type="dxa"/>
          </w:tcPr>
          <w:p>
            <w:pPr>
              <w:jc w:val="right"/>
            </w:pPr>
            <w:r>
              <w:t xml:space="preserve">1,6</w:t>
            </w:r>
          </w:p>
        </w:tc>
        <w:tc>
          <w:tcPr>
            <w:tcW w:w="1512" w:type="dxa"/>
          </w:tcPr>
          <w:p>
            <w:pPr/>
            <w:r>
              <w:t xml:space="preserve">F 1</w:t>
            </w:r>
          </w:p>
        </w:tc>
      </w:tr>
      <w:tr>
        <w:trPr>
          <w:cantSplit/>
        </w:trPr>
        <w:tc>
          <w:tcPr>
            <w:tcW w:w="450" w:type="dxa"/>
          </w:tcPr>
          <w:p>
            <w:pPr>
              <w:jc w:val="right"/>
            </w:pPr>
            <w:r>
              <w:t xml:space="preserve">12</w:t>
            </w:r>
          </w:p>
        </w:tc>
        <w:tc>
          <w:tcPr>
            <w:tcW w:w="1650" w:type="dxa"/>
          </w:tcPr>
          <w:p>
            <w:pPr/>
            <w:r>
              <w:t xml:space="preserve">TXT de Balance y Saldos</w:t>
            </w:r>
          </w:p>
        </w:tc>
        <w:tc>
          <w:tcPr>
            <w:tcW w:w="3600" w:type="dxa"/>
          </w:tcPr>
          <w:p>
            <w:pPr/>
            <w:r>
              <w:t xml:space="preserve">Sociedades desde el maestro en lugar de fijas 1; parametrizar las siete unidades 1,5; comparación con Magnitude en tres cierres 2,5; copia solo del periodo 1</w:t>
            </w:r>
          </w:p>
        </w:tc>
        <w:tc>
          <w:tcPr>
            <w:tcW w:w="1350" w:type="dxa"/>
          </w:tcPr>
          <w:p>
            <w:pPr>
              <w:jc w:val="right"/>
            </w:pPr>
            <w:r>
              <w:t xml:space="preserve">6</w:t>
            </w:r>
          </w:p>
        </w:tc>
        <w:tc>
          <w:tcPr>
            <w:tcW w:w="850" w:type="dxa"/>
          </w:tcPr>
          <w:p>
            <w:pPr>
              <w:jc w:val="right"/>
            </w:pPr>
            <w:r>
              <w:t xml:space="preserve">3,4</w:t>
            </w:r>
          </w:p>
        </w:tc>
        <w:tc>
          <w:tcPr>
            <w:tcW w:w="1512" w:type="dxa"/>
          </w:tcPr>
          <w:p>
            <w:pPr/>
            <w:r>
              <w:t xml:space="preserve">J 1,5 (TXT reales de cada cierre)</w:t>
            </w:r>
          </w:p>
        </w:tc>
      </w:tr>
      <w:tr>
        <w:trPr>
          <w:cantSplit/>
        </w:trPr>
        <w:tc>
          <w:tcPr>
            <w:tcW w:w="450" w:type="dxa"/>
          </w:tcPr>
          <w:p>
            <w:pPr>
              <w:jc w:val="right"/>
            </w:pPr>
            <w:r>
              <w:t xml:space="preserve">13</w:t>
            </w:r>
          </w:p>
        </w:tc>
        <w:tc>
          <w:tcPr>
            <w:tcW w:w="1650" w:type="dxa"/>
          </w:tcPr>
          <w:p>
            <w:pPr/>
            <w:r>
              <w:t xml:space="preserve">TXT de cuatro tipos</w:t>
            </w:r>
          </w:p>
        </w:tc>
        <w:tc>
          <w:tcPr>
            <w:tcW w:w="3600" w:type="dxa"/>
          </w:tcPr>
          <w:p>
            <w:pPr/>
            <w:r>
              <w:t xml:space="preserve">Ageing 3; Revenue 3; Pendiente_Facturar 3; Working_Capital 3 (cada uno: definición, vista, generación y validación)</w:t>
            </w:r>
          </w:p>
        </w:tc>
        <w:tc>
          <w:tcPr>
            <w:tcW w:w="1350" w:type="dxa"/>
          </w:tcPr>
          <w:p>
            <w:pPr>
              <w:jc w:val="right"/>
            </w:pPr>
            <w:r>
              <w:t xml:space="preserve">12</w:t>
            </w:r>
          </w:p>
        </w:tc>
        <w:tc>
          <w:tcPr>
            <w:tcW w:w="850" w:type="dxa"/>
          </w:tcPr>
          <w:p>
            <w:pPr>
              <w:jc w:val="right"/>
            </w:pPr>
            <w:r>
              <w:t xml:space="preserve">6</w:t>
            </w:r>
          </w:p>
        </w:tc>
        <w:tc>
          <w:tcPr>
            <w:tcW w:w="1512" w:type="dxa"/>
          </w:tcPr>
          <w:p>
            <w:pPr/>
            <w:r>
              <w:t xml:space="preserve">J 1,5, F 1,5 (responder las preguntas y validar)</w:t>
            </w:r>
          </w:p>
        </w:tc>
      </w:tr>
      <w:tr>
        <w:trPr>
          <w:cantSplit/>
        </w:trPr>
        <w:tc>
          <w:tcPr>
            <w:tcW w:w="450" w:type="dxa"/>
          </w:tcPr>
          <w:p>
            <w:pPr>
              <w:jc w:val="right"/>
            </w:pPr>
            <w:r>
              <w:t xml:space="preserve">14</w:t>
            </w:r>
          </w:p>
        </w:tc>
        <w:tc>
          <w:tcPr>
            <w:tcW w:w="1650" w:type="dxa"/>
          </w:tcPr>
          <w:p>
            <w:pPr/>
            <w:r>
              <w:t xml:space="preserve">TXT de CashFlow</w:t>
            </w:r>
          </w:p>
        </w:tc>
        <w:tc>
          <w:tcPr>
            <w:tcW w:w="3600" w:type="dxa"/>
          </w:tcPr>
          <w:p>
            <w:pPr/>
            <w:r>
              <w:t xml:space="preserve">Sesión y análisis del proceso 1,5; construcción 2,5; validación 1</w:t>
            </w:r>
          </w:p>
        </w:tc>
        <w:tc>
          <w:tcPr>
            <w:tcW w:w="1350" w:type="dxa"/>
          </w:tcPr>
          <w:p>
            <w:pPr>
              <w:jc w:val="right"/>
            </w:pPr>
            <w:r>
              <w:t xml:space="preserve">5</w:t>
            </w:r>
          </w:p>
        </w:tc>
        <w:tc>
          <w:tcPr>
            <w:tcW w:w="850" w:type="dxa"/>
          </w:tcPr>
          <w:p>
            <w:pPr>
              <w:jc w:val="right"/>
            </w:pPr>
            <w:r>
              <w:t xml:space="preserve">2,7</w:t>
            </w:r>
          </w:p>
        </w:tc>
        <w:tc>
          <w:tcPr>
            <w:tcW w:w="1512" w:type="dxa"/>
          </w:tcPr>
          <w:p>
            <w:pPr/>
            <w:r>
              <w:t xml:space="preserve">J 1, F 0,5</w:t>
            </w:r>
          </w:p>
        </w:tc>
      </w:tr>
      <w:tr>
        <w:trPr>
          <w:cantSplit/>
        </w:trPr>
        <w:tc>
          <w:tcPr>
            <w:tcW w:w="450" w:type="dxa"/>
          </w:tcPr>
          <w:p>
            <w:pPr>
              <w:jc w:val="right"/>
            </w:pPr>
            <w:r>
              <w:t xml:space="preserve">15</w:t>
            </w:r>
          </w:p>
        </w:tc>
        <w:tc>
          <w:tcPr>
            <w:tcW w:w="1650" w:type="dxa"/>
          </w:tcPr>
          <w:p>
            <w:pPr/>
            <w:r>
              <w:t xml:space="preserve">Intercompany LPR</w:t>
            </w:r>
          </w:p>
        </w:tc>
        <w:tc>
          <w:tcPr>
            <w:tcW w:w="3600" w:type="dxa"/>
          </w:tcPr>
          <w:p>
            <w:pPr/>
            <w:r>
              <w:t xml:space="preserve">Construcción y validación 2</w:t>
            </w:r>
          </w:p>
        </w:tc>
        <w:tc>
          <w:tcPr>
            <w:tcW w:w="1350" w:type="dxa"/>
          </w:tcPr>
          <w:p>
            <w:pPr>
              <w:jc w:val="right"/>
            </w:pPr>
            <w:r>
              <w:t xml:space="preserve">2</w:t>
            </w:r>
          </w:p>
        </w:tc>
        <w:tc>
          <w:tcPr>
            <w:tcW w:w="850" w:type="dxa"/>
          </w:tcPr>
          <w:p>
            <w:pPr>
              <w:jc w:val="right"/>
            </w:pPr>
            <w:r>
              <w:t xml:space="preserve">1,2</w:t>
            </w:r>
          </w:p>
        </w:tc>
        <w:tc>
          <w:tcPr>
            <w:tcW w:w="1512" w:type="dxa"/>
          </w:tcPr>
          <w:p>
            <w:pPr/>
            <w:r>
              <w:t xml:space="preserve">J 0,5</w:t>
            </w:r>
          </w:p>
        </w:tc>
      </w:tr>
      <w:tr>
        <w:trPr>
          <w:cantSplit/>
        </w:trPr>
        <w:tc>
          <w:tcPr>
            <w:tcW w:w="450" w:type="dxa"/>
          </w:tcPr>
          <w:p>
            <w:pPr>
              <w:jc w:val="right"/>
            </w:pPr>
            <w:r>
              <w:t xml:space="preserve">16</w:t>
            </w:r>
          </w:p>
        </w:tc>
        <w:tc>
          <w:tcPr>
            <w:tcW w:w="1650" w:type="dxa"/>
          </w:tcPr>
          <w:p>
            <w:pPr/>
            <w:r>
              <w:t xml:space="preserve">Sustitución de Magnitude</w:t>
            </w:r>
          </w:p>
        </w:tc>
        <w:tc>
          <w:tcPr>
            <w:tcW w:w="3600" w:type="dxa"/>
          </w:tcPr>
          <w:p>
            <w:pPr/>
            <w:r>
              <w:t xml:space="preserve">Sin estimar hasta conocer el formato nuevo</w:t>
            </w:r>
          </w:p>
        </w:tc>
        <w:tc>
          <w:tcPr>
            <w:tcW w:w="1350" w:type="dxa"/>
          </w:tcPr>
          <w:p>
            <w:pPr>
              <w:jc w:val="right"/>
            </w:pPr>
            <w:r>
              <w:t xml:space="preserve">0</w:t>
            </w:r>
          </w:p>
        </w:tc>
        <w:tc>
          <w:tcPr>
            <w:tcW w:w="850" w:type="dxa"/>
          </w:tcPr>
          <w:p>
            <w:pPr>
              <w:jc w:val="right"/>
            </w:pPr>
            <w:r>
              <w:t xml:space="preserve">0</w:t>
            </w:r>
          </w:p>
        </w:tc>
        <w:tc>
          <w:tcPr>
            <w:tcW w:w="1512" w:type="dxa"/>
          </w:tcPr>
          <w:p>
            <w:pPr/>
            <w:r>
              <w:t xml:space="preserve">sin estimar</w:t>
            </w:r>
          </w:p>
        </w:tc>
      </w:tr>
      <w:tr>
        <w:trPr>
          <w:cantSplit/>
        </w:trPr>
        <w:tc>
          <w:tcPr>
            <w:tcW w:w="450" w:type="dxa"/>
          </w:tcPr>
          <w:p>
            <w:pPr>
              <w:jc w:val="right"/>
            </w:pPr>
            <w:r>
              <w:t xml:space="preserve">17</w:t>
            </w:r>
          </w:p>
        </w:tc>
        <w:tc>
          <w:tcPr>
            <w:tcW w:w="1650" w:type="dxa"/>
          </w:tcPr>
          <w:p>
            <w:pPr/>
            <w:r>
              <w:t xml:space="preserve">MMS</w:t>
            </w:r>
          </w:p>
        </w:tc>
        <w:tc>
          <w:tcPr>
            <w:tcW w:w="3600" w:type="dxa"/>
          </w:tcPr>
          <w:p>
            <w:pPr/>
            <w:r>
              <w:t xml:space="preserve">Foto de cierre mensual 1,5; cuadre de MMS con el checklist 1,5; pendientes de facturar y de recibir 2</w:t>
            </w:r>
          </w:p>
        </w:tc>
        <w:tc>
          <w:tcPr>
            <w:tcW w:w="1350" w:type="dxa"/>
          </w:tcPr>
          <w:p>
            <w:pPr>
              <w:jc w:val="right"/>
            </w:pPr>
            <w:r>
              <w:t xml:space="preserve">5</w:t>
            </w:r>
          </w:p>
        </w:tc>
        <w:tc>
          <w:tcPr>
            <w:tcW w:w="850" w:type="dxa"/>
          </w:tcPr>
          <w:p>
            <w:pPr>
              <w:jc w:val="right"/>
            </w:pPr>
            <w:r>
              <w:t xml:space="preserve">2,6</w:t>
            </w:r>
          </w:p>
        </w:tc>
        <w:tc>
          <w:tcPr>
            <w:tcW w:w="1512" w:type="dxa"/>
          </w:tcPr>
          <w:p>
            <w:pPr/>
            <w:r>
              <w:t xml:space="preserve">J 1, F 0,5</w:t>
            </w:r>
          </w:p>
        </w:tc>
      </w:tr>
      <w:tr>
        <w:trPr>
          <w:cantSplit/>
        </w:trPr>
        <w:tc>
          <w:tcPr>
            <w:tcW w:w="450" w:type="dxa"/>
          </w:tcPr>
          <w:p>
            <w:pPr>
              <w:jc w:val="right"/>
            </w:pPr>
            <w:r>
              <w:t xml:space="preserve">18</w:t>
            </w:r>
          </w:p>
        </w:tc>
        <w:tc>
          <w:tcPr>
            <w:tcW w:w="1650" w:type="dxa"/>
          </w:tcPr>
          <w:p>
            <w:pPr/>
            <w:r>
              <w:t xml:space="preserve">Maestro de clientes</w:t>
            </w:r>
          </w:p>
        </w:tc>
        <w:tc>
          <w:tcPr>
            <w:tcW w:w="3600" w:type="dxa"/>
          </w:tcPr>
          <w:p>
            <w:pPr/>
            <w:r>
              <w:t xml:space="preserve">Tabla única Oracle, MMS, sección y límite 2,5; control de clientes sin sección 0,5; correspondencia de centros de coste 1</w:t>
            </w:r>
          </w:p>
        </w:tc>
        <w:tc>
          <w:tcPr>
            <w:tcW w:w="1350" w:type="dxa"/>
          </w:tcPr>
          <w:p>
            <w:pPr>
              <w:jc w:val="right"/>
            </w:pPr>
            <w:r>
              <w:t xml:space="preserve">4</w:t>
            </w:r>
          </w:p>
        </w:tc>
        <w:tc>
          <w:tcPr>
            <w:tcW w:w="850" w:type="dxa"/>
          </w:tcPr>
          <w:p>
            <w:pPr>
              <w:jc w:val="right"/>
            </w:pPr>
            <w:r>
              <w:t xml:space="preserve">1,6</w:t>
            </w:r>
          </w:p>
        </w:tc>
        <w:tc>
          <w:tcPr>
            <w:tcW w:w="1512" w:type="dxa"/>
          </w:tcPr>
          <w:p>
            <w:pPr/>
            <w:r>
              <w:t xml:space="preserve">J 1,5</w:t>
            </w:r>
          </w:p>
        </w:tc>
      </w:tr>
      <w:tr>
        <w:trPr>
          <w:cantSplit/>
        </w:trPr>
        <w:tc>
          <w:tcPr>
            <w:tcW w:w="450" w:type="dxa"/>
          </w:tcPr>
          <w:p>
            <w:pPr>
              <w:jc w:val="right"/>
            </w:pPr>
            <w:r>
              <w:t xml:space="preserve">19</w:t>
            </w:r>
          </w:p>
        </w:tc>
        <w:tc>
          <w:tcPr>
            <w:tcW w:w="1650" w:type="dxa"/>
          </w:tcPr>
          <w:p>
            <w:pPr/>
            <w:r>
              <w:t xml:space="preserve">Modelo de atribución</w:t>
            </w:r>
          </w:p>
        </w:tc>
        <w:tc>
          <w:tcPr>
            <w:tcW w:w="3600" w:type="dxa"/>
          </w:tcPr>
          <w:p>
            <w:pPr/>
            <w:r>
              <w:t xml:space="preserve">Propuesta de Docenteo 1,5; tres sesiones de trabajo 1,5; documentar las reglas 1</w:t>
            </w:r>
          </w:p>
        </w:tc>
        <w:tc>
          <w:tcPr>
            <w:tcW w:w="1350" w:type="dxa"/>
          </w:tcPr>
          <w:p>
            <w:pPr>
              <w:jc w:val="right"/>
            </w:pPr>
            <w:r>
              <w:t xml:space="preserve">4</w:t>
            </w:r>
          </w:p>
        </w:tc>
        <w:tc>
          <w:tcPr>
            <w:tcW w:w="850" w:type="dxa"/>
          </w:tcPr>
          <w:p>
            <w:pPr>
              <w:jc w:val="right"/>
            </w:pPr>
            <w:r>
              <w:t xml:space="preserve">2,5</w:t>
            </w:r>
          </w:p>
        </w:tc>
        <w:tc>
          <w:tcPr>
            <w:tcW w:w="1512" w:type="dxa"/>
          </w:tcPr>
          <w:p>
            <w:pPr/>
            <w:r>
              <w:t xml:space="preserve">F 2, D 1,5</w:t>
            </w:r>
          </w:p>
        </w:tc>
      </w:tr>
      <w:tr>
        <w:trPr>
          <w:cantSplit/>
        </w:trPr>
        <w:tc>
          <w:tcPr>
            <w:tcW w:w="450" w:type="dxa"/>
          </w:tcPr>
          <w:p>
            <w:pPr>
              <w:jc w:val="right"/>
            </w:pPr>
            <w:r>
              <w:t xml:space="preserve">20</w:t>
            </w:r>
          </w:p>
        </w:tc>
        <w:tc>
          <w:tcPr>
            <w:tcW w:w="1650" w:type="dxa"/>
          </w:tcPr>
          <w:p>
            <w:pPr/>
            <w:r>
              <w:t xml:space="preserve">Draft de presupuesto y forecast</w:t>
            </w:r>
          </w:p>
        </w:tc>
        <w:tc>
          <w:tcPr>
            <w:tcW w:w="3600" w:type="dxa"/>
          </w:tcPr>
          <w:p>
            <w:pPr/>
            <w:r>
              <w:t xml:space="preserve">Estructura de P&amp;L con FT8, FT3 y B01 2; motor de reglas por partida 5; mensualización de revenue y gastos 3; real de meses cerrados y ajuste de abiertos 2; nuevo negocio y escenarios 1,5; validación con un caso real 1,5</w:t>
            </w:r>
          </w:p>
        </w:tc>
        <w:tc>
          <w:tcPr>
            <w:tcW w:w="1350" w:type="dxa"/>
          </w:tcPr>
          <w:p>
            <w:pPr>
              <w:jc w:val="right"/>
            </w:pPr>
            <w:r>
              <w:t xml:space="preserve">15</w:t>
            </w:r>
          </w:p>
        </w:tc>
        <w:tc>
          <w:tcPr>
            <w:tcW w:w="850" w:type="dxa"/>
          </w:tcPr>
          <w:p>
            <w:pPr>
              <w:jc w:val="right"/>
            </w:pPr>
            <w:r>
              <w:t xml:space="preserve">6,6</w:t>
            </w:r>
          </w:p>
        </w:tc>
        <w:tc>
          <w:tcPr>
            <w:tcW w:w="1512" w:type="dxa"/>
          </w:tcPr>
          <w:p>
            <w:pPr/>
            <w:r>
              <w:t xml:space="preserve">F 3, D 1</w:t>
            </w:r>
          </w:p>
        </w:tc>
      </w:tr>
      <w:tr>
        <w:trPr>
          <w:cantSplit/>
        </w:trPr>
        <w:tc>
          <w:tcPr>
            <w:tcW w:w="450" w:type="dxa"/>
          </w:tcPr>
          <w:p>
            <w:pPr>
              <w:jc w:val="right"/>
            </w:pPr>
            <w:r>
              <w:t xml:space="preserve">21</w:t>
            </w:r>
          </w:p>
        </w:tc>
        <w:tc>
          <w:tcPr>
            <w:tcW w:w="1650" w:type="dxa"/>
          </w:tcPr>
          <w:p>
            <w:pPr/>
            <w:r>
              <w:t xml:space="preserve">Captura por directora</w:t>
            </w:r>
          </w:p>
        </w:tc>
        <w:tc>
          <w:tcPr>
            <w:tcW w:w="3600" w:type="dxa"/>
          </w:tcPr>
          <w:p>
            <w:pPr/>
            <w:r>
              <w:t xml:space="preserve">Diseño del formulario o de Planning 2; precarga de MMS y solo sus clientes 2; clientes nuevos y vuelta al lakehouse 2,5; formación 1,5</w:t>
            </w:r>
          </w:p>
        </w:tc>
        <w:tc>
          <w:tcPr>
            <w:tcW w:w="1350" w:type="dxa"/>
          </w:tcPr>
          <w:p>
            <w:pPr>
              <w:jc w:val="right"/>
            </w:pPr>
            <w:r>
              <w:t xml:space="preserve">8</w:t>
            </w:r>
          </w:p>
        </w:tc>
        <w:tc>
          <w:tcPr>
            <w:tcW w:w="850" w:type="dxa"/>
          </w:tcPr>
          <w:p>
            <w:pPr>
              <w:jc w:val="right"/>
            </w:pPr>
            <w:r>
              <w:t xml:space="preserve">4,1</w:t>
            </w:r>
          </w:p>
        </w:tc>
        <w:tc>
          <w:tcPr>
            <w:tcW w:w="1512" w:type="dxa"/>
          </w:tcPr>
          <w:p>
            <w:pPr/>
            <w:r>
              <w:t xml:space="preserve">F 2, Dir 0,5 c/u</w:t>
            </w:r>
          </w:p>
        </w:tc>
      </w:tr>
      <w:tr>
        <w:trPr>
          <w:cantSplit/>
        </w:trPr>
        <w:tc>
          <w:tcPr>
            <w:tcW w:w="450" w:type="dxa"/>
          </w:tcPr>
          <w:p>
            <w:pPr>
              <w:jc w:val="right"/>
            </w:pPr>
            <w:r>
              <w:t xml:space="preserve">22</w:t>
            </w:r>
          </w:p>
        </w:tc>
        <w:tc>
          <w:tcPr>
            <w:tcW w:w="1650" w:type="dxa"/>
          </w:tcPr>
          <w:p>
            <w:pPr/>
            <w:r>
              <w:t xml:space="preserve">Presupuesto a Magnitude</w:t>
            </w:r>
          </w:p>
        </w:tc>
        <w:tc>
          <w:tcPr>
            <w:tcW w:w="3600" w:type="dxa"/>
          </w:tcPr>
          <w:p>
            <w:pPr/>
            <w:r>
              <w:t xml:space="preserve">Formato de carga 2; validación 1</w:t>
            </w:r>
          </w:p>
        </w:tc>
        <w:tc>
          <w:tcPr>
            <w:tcW w:w="1350" w:type="dxa"/>
          </w:tcPr>
          <w:p>
            <w:pPr>
              <w:jc w:val="right"/>
            </w:pPr>
            <w:r>
              <w:t xml:space="preserve">3</w:t>
            </w:r>
          </w:p>
        </w:tc>
        <w:tc>
          <w:tcPr>
            <w:tcW w:w="850" w:type="dxa"/>
          </w:tcPr>
          <w:p>
            <w:pPr>
              <w:jc w:val="right"/>
            </w:pPr>
            <w:r>
              <w:t xml:space="preserve">1,6</w:t>
            </w:r>
          </w:p>
        </w:tc>
        <w:tc>
          <w:tcPr>
            <w:tcW w:w="1512" w:type="dxa"/>
          </w:tcPr>
          <w:p>
            <w:pPr/>
            <w:r>
              <w:t xml:space="preserve">F 0,5</w:t>
            </w:r>
          </w:p>
        </w:tc>
      </w:tr>
      <w:tr>
        <w:trPr>
          <w:cantSplit/>
        </w:trPr>
        <w:tc>
          <w:tcPr>
            <w:tcW w:w="450" w:type="dxa"/>
          </w:tcPr>
          <w:p>
            <w:pPr>
              <w:jc w:val="right"/>
            </w:pPr>
            <w:r>
              <w:t xml:space="preserve">23</w:t>
            </w:r>
          </w:p>
        </w:tc>
        <w:tc>
          <w:tcPr>
            <w:tcW w:w="1650" w:type="dxa"/>
          </w:tcPr>
          <w:p>
            <w:pPr/>
            <w:r>
              <w:t xml:space="preserve">Organigrama y dedicación</w:t>
            </w:r>
          </w:p>
        </w:tc>
        <w:tc>
          <w:tcPr>
            <w:tcW w:w="3600" w:type="dxa"/>
          </w:tcPr>
          <w:p>
            <w:pPr/>
            <w:r>
              <w:t xml:space="preserve">Organigrama con subcentros 2; matriz con control del 100 % 2,5; carga desde los ficheros de las directoras 1,5</w:t>
            </w:r>
          </w:p>
        </w:tc>
        <w:tc>
          <w:tcPr>
            <w:tcW w:w="1350" w:type="dxa"/>
          </w:tcPr>
          <w:p>
            <w:pPr>
              <w:jc w:val="right"/>
            </w:pPr>
            <w:r>
              <w:t xml:space="preserve">6</w:t>
            </w:r>
          </w:p>
        </w:tc>
        <w:tc>
          <w:tcPr>
            <w:tcW w:w="850" w:type="dxa"/>
          </w:tcPr>
          <w:p>
            <w:pPr>
              <w:jc w:val="right"/>
            </w:pPr>
            <w:r>
              <w:t xml:space="preserve">2,4</w:t>
            </w:r>
          </w:p>
        </w:tc>
        <w:tc>
          <w:tcPr>
            <w:tcW w:w="1512" w:type="dxa"/>
          </w:tcPr>
          <w:p>
            <w:pPr/>
            <w:r>
              <w:t xml:space="preserve">F 3, D 0,5</w:t>
            </w:r>
          </w:p>
        </w:tc>
      </w:tr>
      <w:tr>
        <w:trPr>
          <w:cantSplit/>
        </w:trPr>
        <w:tc>
          <w:tcPr>
            <w:tcW w:w="450" w:type="dxa"/>
          </w:tcPr>
          <w:p>
            <w:pPr>
              <w:jc w:val="right"/>
            </w:pPr>
            <w:r>
              <w:t xml:space="preserve">24</w:t>
            </w:r>
          </w:p>
        </w:tc>
        <w:tc>
          <w:tcPr>
            <w:tcW w:w="1650" w:type="dxa"/>
          </w:tcPr>
          <w:p>
            <w:pPr/>
            <w:r>
              <w:t xml:space="preserve">Rentabilidad</w:t>
            </w:r>
          </w:p>
        </w:tc>
        <w:tc>
          <w:tcPr>
            <w:tcW w:w="3600" w:type="dxa"/>
          </w:tcPr>
          <w:p>
            <w:pPr/>
            <w:r>
              <w:t xml:space="preserve">Coste imputado desde la matriz 2; rentabilidad por directora, equipo y cliente sin doble cómputo 3; overheads y reparto de gastos 2; resumen por directora 1</w:t>
            </w:r>
          </w:p>
        </w:tc>
        <w:tc>
          <w:tcPr>
            <w:tcW w:w="1350" w:type="dxa"/>
          </w:tcPr>
          <w:p>
            <w:pPr>
              <w:jc w:val="right"/>
            </w:pPr>
            <w:r>
              <w:t xml:space="preserve">8</w:t>
            </w:r>
          </w:p>
        </w:tc>
        <w:tc>
          <w:tcPr>
            <w:tcW w:w="850" w:type="dxa"/>
          </w:tcPr>
          <w:p>
            <w:pPr>
              <w:jc w:val="right"/>
            </w:pPr>
            <w:r>
              <w:t xml:space="preserve">3,2</w:t>
            </w:r>
          </w:p>
        </w:tc>
        <w:tc>
          <w:tcPr>
            <w:tcW w:w="1512" w:type="dxa"/>
          </w:tcPr>
          <w:p>
            <w:pPr/>
            <w:r>
              <w:t xml:space="preserve">F 1,5, D 0,5</w:t>
            </w:r>
          </w:p>
        </w:tc>
      </w:tr>
      <w:tr>
        <w:trPr>
          <w:cantSplit/>
        </w:trPr>
        <w:tc>
          <w:tcPr>
            <w:tcW w:w="450" w:type="dxa"/>
          </w:tcPr>
          <w:p>
            <w:pPr>
              <w:jc w:val="right"/>
            </w:pPr>
            <w:r>
              <w:t xml:space="preserve">25</w:t>
            </w:r>
          </w:p>
        </w:tc>
        <w:tc>
          <w:tcPr>
            <w:tcW w:w="1650" w:type="dxa"/>
          </w:tcPr>
          <w:p>
            <w:pPr/>
            <w:r>
              <w:t xml:space="preserve">Agings</w:t>
            </w:r>
          </w:p>
        </w:tc>
        <w:tc>
          <w:tcPr>
            <w:tcW w:w="3600" w:type="dxa"/>
          </w:tcPr>
          <w:p>
            <w:pPr/>
            <w:r>
              <w:t xml:space="preserve">Vencimiento desde cuentas a pagar y a cobrar 2; consolidado y filtro por sociedad 1; riesgo de crédito 2; calendario no fijo 1; validación 1</w:t>
            </w:r>
          </w:p>
        </w:tc>
        <w:tc>
          <w:tcPr>
            <w:tcW w:w="1350" w:type="dxa"/>
          </w:tcPr>
          <w:p>
            <w:pPr>
              <w:jc w:val="right"/>
            </w:pPr>
            <w:r>
              <w:t xml:space="preserve">7</w:t>
            </w:r>
          </w:p>
        </w:tc>
        <w:tc>
          <w:tcPr>
            <w:tcW w:w="850" w:type="dxa"/>
          </w:tcPr>
          <w:p>
            <w:pPr>
              <w:jc w:val="right"/>
            </w:pPr>
            <w:r>
              <w:t xml:space="preserve">3,2</w:t>
            </w:r>
          </w:p>
        </w:tc>
        <w:tc>
          <w:tcPr>
            <w:tcW w:w="1512" w:type="dxa"/>
          </w:tcPr>
          <w:p>
            <w:pPr/>
            <w:r>
              <w:t xml:space="preserve">F 1,5</w:t>
            </w:r>
          </w:p>
        </w:tc>
      </w:tr>
      <w:tr>
        <w:trPr>
          <w:cantSplit/>
        </w:trPr>
        <w:tc>
          <w:tcPr>
            <w:tcW w:w="450" w:type="dxa"/>
          </w:tcPr>
          <w:p>
            <w:pPr>
              <w:jc w:val="right"/>
            </w:pPr>
            <w:r>
              <w:t xml:space="preserve">26</w:t>
            </w:r>
          </w:p>
        </w:tc>
        <w:tc>
          <w:tcPr>
            <w:tcW w:w="1650" w:type="dxa"/>
          </w:tcPr>
          <w:p>
            <w:pPr/>
            <w:r>
              <w:t xml:space="preserve">Accesos</w:t>
            </w:r>
          </w:p>
        </w:tc>
        <w:tc>
          <w:tcPr>
            <w:tcW w:w="3600" w:type="dxa"/>
          </w:tcPr>
          <w:p>
            <w:pPr/>
            <w:r>
              <w:t xml:space="preserve">Matriz de roles 1; seguridad por fila para directoras 2; seguridad por columna para salarios 1; pruebas por usuario 1</w:t>
            </w:r>
          </w:p>
        </w:tc>
        <w:tc>
          <w:tcPr>
            <w:tcW w:w="1350" w:type="dxa"/>
          </w:tcPr>
          <w:p>
            <w:pPr>
              <w:jc w:val="right"/>
            </w:pPr>
            <w:r>
              <w:t xml:space="preserve">5</w:t>
            </w:r>
          </w:p>
        </w:tc>
        <w:tc>
          <w:tcPr>
            <w:tcW w:w="850" w:type="dxa"/>
          </w:tcPr>
          <w:p>
            <w:pPr>
              <w:jc w:val="right"/>
            </w:pPr>
            <w:r>
              <w:t xml:space="preserve">3</w:t>
            </w:r>
          </w:p>
        </w:tc>
        <w:tc>
          <w:tcPr>
            <w:tcW w:w="1512" w:type="dxa"/>
          </w:tcPr>
          <w:p>
            <w:pPr/>
            <w:r>
              <w:t xml:space="preserve">F 0,5, D 0,5</w:t>
            </w:r>
          </w:p>
        </w:tc>
      </w:tr>
      <w:tr>
        <w:trPr>
          <w:cantSplit/>
        </w:trPr>
        <w:tc>
          <w:tcPr>
            <w:tcW w:w="450" w:type="dxa"/>
          </w:tcPr>
          <w:p>
            <w:pPr>
              <w:jc w:val="right"/>
            </w:pPr>
            <w:r>
              <w:t xml:space="preserve">27</w:t>
            </w:r>
          </w:p>
        </w:tc>
        <w:tc>
          <w:tcPr>
            <w:tcW w:w="1650" w:type="dxa"/>
          </w:tcPr>
          <w:p>
            <w:pPr/>
            <w:r>
              <w:t xml:space="preserve">Seguridad técnica</w:t>
            </w:r>
          </w:p>
        </w:tc>
        <w:tc>
          <w:tcPr>
            <w:tcW w:w="3600" w:type="dxa"/>
          </w:tcPr>
          <w:p>
            <w:pPr/>
            <w:r>
              <w:t xml:space="preserve">Sacar el secreto a una conexión gestionada o Key Vault 1; revisar las entidades de servicio 0,5</w:t>
            </w:r>
          </w:p>
        </w:tc>
        <w:tc>
          <w:tcPr>
            <w:tcW w:w="1350" w:type="dxa"/>
          </w:tcPr>
          <w:p>
            <w:pPr>
              <w:jc w:val="right"/>
            </w:pPr>
            <w:r>
              <w:t xml:space="preserve">1,5</w:t>
            </w:r>
          </w:p>
        </w:tc>
        <w:tc>
          <w:tcPr>
            <w:tcW w:w="850" w:type="dxa"/>
          </w:tcPr>
          <w:p>
            <w:pPr>
              <w:jc w:val="right"/>
            </w:pPr>
            <w:r>
              <w:t xml:space="preserve">0,6</w:t>
            </w:r>
          </w:p>
        </w:tc>
        <w:tc>
          <w:tcPr>
            <w:tcW w:w="1512" w:type="dxa"/>
          </w:tcPr>
          <w:p>
            <w:pPr/>
            <w:r>
              <w:t xml:space="preserve">IT 0,5 (rotar el secreto)</w:t>
            </w:r>
          </w:p>
        </w:tc>
      </w:tr>
      <w:tr>
        <w:trPr>
          <w:cantSplit/>
        </w:trPr>
        <w:tc>
          <w:tcPr>
            <w:tcW w:w="450" w:type="dxa"/>
          </w:tcPr>
          <w:p>
            <w:pPr>
              <w:jc w:val="right"/>
            </w:pPr>
            <w:r>
              <w:t xml:space="preserve">28</w:t>
            </w:r>
          </w:p>
        </w:tc>
        <w:tc>
          <w:tcPr>
            <w:tcW w:w="1650" w:type="dxa"/>
          </w:tcPr>
          <w:p>
            <w:pPr/>
            <w:r>
              <w:t xml:space="preserve">Orquestación y operación</w:t>
            </w:r>
          </w:p>
        </w:tc>
        <w:tc>
          <w:tcPr>
            <w:tcW w:w="3600" w:type="dxa"/>
          </w:tcPr>
          <w:p>
            <w:pPr/>
            <w:r>
              <w:t xml:space="preserve">Pipeline padre y condiciones de éxito 1,5; alertas 1; un productor por tabla 1; maestros en la orquestación 1; capacidad 0,5</w:t>
            </w:r>
          </w:p>
        </w:tc>
        <w:tc>
          <w:tcPr>
            <w:tcW w:w="1350" w:type="dxa"/>
          </w:tcPr>
          <w:p>
            <w:pPr>
              <w:jc w:val="right"/>
            </w:pPr>
            <w:r>
              <w:t xml:space="preserve">5</w:t>
            </w:r>
          </w:p>
        </w:tc>
        <w:tc>
          <w:tcPr>
            <w:tcW w:w="850" w:type="dxa"/>
          </w:tcPr>
          <w:p>
            <w:pPr>
              <w:jc w:val="right"/>
            </w:pPr>
            <w:r>
              <w:t xml:space="preserve">2,3</w:t>
            </w:r>
          </w:p>
        </w:tc>
        <w:tc>
          <w:tcPr>
            <w:tcW w:w="1512" w:type="dxa"/>
          </w:tcPr>
          <w:p>
            <w:pPr/>
            <w:r>
              <w:t xml:space="preserve">ninguno</w:t>
            </w:r>
          </w:p>
        </w:tc>
      </w:tr>
      <w:tr>
        <w:trPr>
          <w:cantSplit/>
        </w:trPr>
        <w:tc>
          <w:tcPr>
            <w:tcW w:w="450" w:type="dxa"/>
          </w:tcPr>
          <w:p>
            <w:pPr>
              <w:jc w:val="right"/>
            </w:pPr>
            <w:r>
              <w:t xml:space="preserve">29</w:t>
            </w:r>
          </w:p>
        </w:tc>
        <w:tc>
          <w:tcPr>
            <w:tcW w:w="1650" w:type="dxa"/>
          </w:tcPr>
          <w:p>
            <w:pPr/>
            <w:r>
              <w:t xml:space="preserve">Gobierno y adopción</w:t>
            </w:r>
          </w:p>
        </w:tc>
        <w:tc>
          <w:tcPr>
            <w:tcW w:w="3600" w:type="dxa"/>
          </w:tcPr>
          <w:p>
            <w:pPr/>
            <w:r>
              <w:t xml:space="preserve">Seguimiento semanal (0,5 por semana durante 13 semanas) 6,5; sesiones con Josep y formación 2; mantener el registro y las decisiones 1,5</w:t>
            </w:r>
          </w:p>
        </w:tc>
        <w:tc>
          <w:tcPr>
            <w:tcW w:w="1350" w:type="dxa"/>
          </w:tcPr>
          <w:p>
            <w:pPr>
              <w:jc w:val="right"/>
            </w:pPr>
            <w:r>
              <w:t xml:space="preserve">10</w:t>
            </w:r>
          </w:p>
        </w:tc>
        <w:tc>
          <w:tcPr>
            <w:tcW w:w="850" w:type="dxa"/>
          </w:tcPr>
          <w:p>
            <w:pPr>
              <w:jc w:val="right"/>
            </w:pPr>
            <w:r>
              <w:t xml:space="preserve">9,1</w:t>
            </w:r>
          </w:p>
        </w:tc>
        <w:tc>
          <w:tcPr>
            <w:tcW w:w="1512" w:type="dxa"/>
          </w:tcPr>
          <w:p>
            <w:pPr/>
            <w:r>
              <w:t xml:space="preserve">J 2, F 2, D 1</w:t>
            </w:r>
          </w:p>
        </w:tc>
      </w:tr>
      <w:tr>
        <w:trPr>
          <w:cantSplit/>
        </w:trPr>
        <w:tc>
          <w:tcPr>
            <w:tcW w:w="450" w:type="dxa"/>
          </w:tcPr>
          <w:p>
            <w:pPr>
              <w:jc w:val="right"/>
            </w:pPr>
          </w:p>
        </w:tc>
        <w:tc>
          <w:tcPr>
            <w:tcW w:w="1650" w:type="dxa"/>
          </w:tcPr>
          <w:p>
            <w:pPr/>
            <w:r>
              <w:rPr>
                <w:rStyle w:val="nfasis"/>
              </w:rPr>
              <w:t xml:space="preserve">Total</w:t>
            </w:r>
          </w:p>
        </w:tc>
        <w:tc>
          <w:tcPr>
            <w:tcW w:w="3600" w:type="dxa"/>
          </w:tcPr>
          <w:p>
            <w:pPr/>
          </w:p>
        </w:tc>
        <w:tc>
          <w:tcPr>
            <w:tcW w:w="1350" w:type="dxa"/>
          </w:tcPr>
          <w:p>
            <w:pPr>
              <w:jc w:val="right"/>
            </w:pPr>
            <w:r>
              <w:rPr>
                <w:rStyle w:val="nfasis"/>
              </w:rPr>
              <w:t xml:space="preserve">153,5</w:t>
            </w:r>
          </w:p>
        </w:tc>
        <w:tc>
          <w:tcPr>
            <w:tcW w:w="850" w:type="dxa"/>
          </w:tcPr>
          <w:p>
            <w:pPr>
              <w:jc w:val="right"/>
            </w:pPr>
            <w:r>
              <w:rPr>
                <w:rStyle w:val="nfasis"/>
              </w:rPr>
              <w:t xml:space="preserve">77,4</w:t>
            </w:r>
          </w:p>
        </w:tc>
        <w:tc>
          <w:tcPr>
            <w:tcW w:w="1512" w:type="dxa"/>
          </w:tcPr>
          <w:p>
            <w:pPr/>
            <w:r>
              <w:rPr>
                <w:rStyle w:val="nfasis"/>
              </w:rPr>
              <w:t xml:space="preserve">J 20, F 21, D 5, Dir 0,5 c/u, IT 0,5</w:t>
            </w:r>
          </w:p>
        </w:tc>
      </w:tr>
    </w:tbl>
    <w:p>
      <w:pPr>
        <w:pStyle w:val="Heading1"/>
      </w:pPr>
      <w:r>
        <w:t xml:space="preserve">Próximos pasos inmediatos</w:t>
      </w:r>
    </w:p>
    <w:p>
      <w:pPr>
        <w:pStyle w:val="ListNumber"/>
        <w:numPr>
          <w:ilvl w:val="0"/>
          <w:numId w:val="104"/>
        </w:numPr>
      </w:pPr>
      <w:r>
        <w:t xml:space="preserve">Antes de la sesión con Josep:</w:t>
      </w:r>
    </w:p>
    <w:p>
      <w:pPr>
        <w:pStyle w:val="ListBullet"/>
        <w:numPr>
          <w:ilvl w:val="1"/>
          <w:numId w:val="2"/>
        </w:numPr>
      </w:pPr>
      <w:r>
        <w:t xml:space="preserve">pedirle los extractos de abril a octubre tal como salen del sistema;</w:t>
      </w:r>
    </w:p>
    <w:p>
      <w:pPr>
        <w:pStyle w:val="ListBullet"/>
        <w:numPr>
          <w:ilvl w:val="1"/>
          <w:numId w:val="2"/>
        </w:numPr>
      </w:pPr>
      <w:r>
        <w:t xml:space="preserve">cargarlos y comprobar que los controles cuadran;</w:t>
      </w:r>
    </w:p>
    <w:p>
      <w:pPr>
        <w:pStyle w:val="ListBullet"/>
        <w:numPr>
          <w:ilvl w:val="1"/>
          <w:numId w:val="2"/>
        </w:numPr>
      </w:pPr>
      <w:r>
        <w:t xml:space="preserve">no enseñar la app con datos salariales a nadie fuera de finanzas hasta tener la fase 2.</w:t>
      </w:r>
    </w:p>
    <w:p>
      <w:pPr>
        <w:pStyle w:val="ListNumber"/>
        <w:numPr>
          <w:ilvl w:val="0"/>
          <w:numId w:val="104"/>
        </w:numPr>
      </w:pPr>
      <w:r>
        <w:t xml:space="preserve">Enviar a David el correo de roles y accesos (P-188) y, en el mismo envío, la lista de decisiones de la sección 6 con una fecha propuesta para cada una.</w:t>
      </w:r>
    </w:p>
    <w:p>
      <w:pPr>
        <w:pStyle w:val="ListNumber"/>
        <w:numPr>
          <w:ilvl w:val="0"/>
          <w:numId w:val="104"/>
        </w:numPr>
      </w:pPr>
      <w:r>
        <w:t xml:space="preserve">Calibrar la estimación de la sección 1 con el equipo de Docenteo y decidir con qué equipo se trabaja (con IA, una o dos personas) antes de dar fechas a Tinkle. Mientras tanto, a Tinkle solo se le traslada su parte: la dedicación de Josep, Fátima y David y las decisiones de la sección 6.</w:t>
      </w:r>
    </w:p>
    <w:p>
      <w:pPr>
        <w:pStyle w:val="ListNumber"/>
        <w:numPr>
          <w:ilvl w:val="0"/>
          <w:numId w:val="104"/>
        </w:numPr>
      </w:pPr>
      <w:r>
        <w:t xml:space="preserve">Confirmar con Tinkle el calendario del Grupo y las fechas de cierre de octubre, noviembre y diciembre (P-018, P-019) para planificar la validación en paralelo.</w:t>
      </w:r>
    </w:p>
    <w:p>
      <w:pPr>
        <w:pStyle w:val="ListNumber"/>
        <w:numPr>
          <w:ilvl w:val="0"/>
          <w:numId w:val="104"/>
        </w:numPr>
      </w:pPr>
      <w:r>
        <w:t xml:space="preserve">Volver a exportar Fabric después de cada cambio publicado y mantener este documento y el registro de pendientes al día.</w:t>
      </w:r>
    </w:p>
    <w:sectPr>
      <w:headerReference w:type="first" r:id="rIdH1"/>
      <w:headerReference w:type="default" r:id="rIdH2"/>
      <w:footerReference w:type="first" r:id="rIdF1"/>
      <w:footerReference w:type="default" r:id="rIdF2"/>
      <w:pgSz w:w="11906" w:h="16838"/>
      <w:pgMar w:top="1701" w:right="1247" w:bottom="1418" w:left="1247" w:header="680" w:footer="567" w:gutter="0"/>
      <w:titlePg/>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IBM Plex Sans">
    <w:charset w:val="00"/>
    <w:family w:val="swiss"/>
    <w:pitch w:val="variable"/>
    <w:embedRegular r:id="rIdF1" w:fontKey="{7F14B11B-1BB9-4BFE-A657-3377F17FD203}"/>
    <w:embedBold r:id="rIdF2" w:fontKey="{E6453D19-61B1-4F07-8E7A-A009438F5168}"/>
    <w:embedItalic r:id="rIdF3" w:fontKey="{EF546C44-0506-4614-B963-BAEC7AB02ADC}"/>
    <w:embedBoldItalic r:id="rIdF4" w:fontKey="{F68A43F3-BFAD-4EA6-BEEE-1EC5C30D0DA7}"/>
  </w:font>
  <w:font w:name="IBM Plex Sans Light">
    <w:charset w:val="00"/>
    <w:family w:val="swiss"/>
    <w:pitch w:val="variable"/>
    <w:embedRegular r:id="rIdF5" w:fontKey="{F1CA92A5-55C5-475D-9DDF-FB420E8DF366}"/>
    <w:embedItalic r:id="rIdF6" w:fontKey="{15495669-2C7B-4E6D-8F3C-DE53495E250A}"/>
  </w:font>
  <w:font w:name="IBM Plex Sans Medium">
    <w:charset w:val="00"/>
    <w:family w:val="swiss"/>
    <w:pitch w:val="variable"/>
    <w:embedRegular r:id="rIdF7" w:fontKey="{76CF553C-8E6E-46C8-AA61-891BCA6C23FC}"/>
    <w:embedItalic r:id="rIdF8" w:fontKey="{B3B64802-151E-4D30-9267-6A3B3F734FDA}"/>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r>
      <w:tab/>
    </w:r>
    <w:r>
      <w:fldChar w:fldCharType="begin"/>
    </w:r>
    <w:r>
      <w:instrText xml:space="preserve"> PAGE </w:instrText>
    </w:r>
    <w:r>
      <w:fldChar w:fldCharType="separate"/>
    </w:r>
    <w:r>
      <w:t xml:space="preserve">2</w:t>
    </w:r>
    <w:r>
      <w:fldChar w:fldCharType="end"/>
    </w:r>
    <w:r>
      <w:t xml:space="preserve"> / </w:t>
    </w:r>
    <w:r>
      <w:fldChar w:fldCharType="begin"/>
    </w:r>
    <w:r>
      <w:instrText xml:space="preserve"> NUMPAGES </w:instrText>
    </w:r>
    <w:r>
      <w:fldChar w:fldCharType="separate"/>
    </w:r>
    <w:r>
      <w:t xml:space="preserve">4</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310" cy="10692130"/>
          <wp:effectExtent l="0" t="0" r="0" b="0"/>
          <wp:wrapNone/>
          <wp:docPr id="101" name="Fondo de portada"/>
          <wp:cNvGraphicFramePr>
            <a:graphicFrameLocks noChangeAspect="1"/>
          </wp:cNvGraphicFramePr>
          <a:graphic>
            <a:graphicData uri="http://schemas.openxmlformats.org/drawingml/2006/picture">
              <pic:pic>
                <pic:nvPicPr>
                  <pic:cNvPr id="101" name="Fondo de portada"/>
                  <pic:cNvPicPr/>
                </pic:nvPicPr>
                <pic:blipFill>
                  <a:blip r:embed="rIdG"/>
                  <a:stretch>
                    <a:fillRect/>
                  </a:stretch>
                </pic:blipFill>
                <pic:spPr>
                  <a:xfrm>
                    <a:off x="0" y="0"/>
                    <a:ext cx="7560310" cy="10692130"/>
                  </a:xfrm>
                  <a:prstGeom prst="rect">
                    <a:avLst/>
                  </a:prstGeom>
                </pic:spPr>
              </pic:pic>
            </a:graphicData>
          </a:graphic>
        </wp:anchor>
      </w:drawing>
    </w:r>
    <w:r>
      <w:drawing>
        <wp:anchor distT="0" distB="0" distL="0" distR="0" simplePos="0" relativeHeight="2" behindDoc="0" locked="1" layoutInCell="1" allowOverlap="1">
          <wp:simplePos x="0" y="0"/>
          <wp:positionH relativeFrom="page">
            <wp:posOffset>792000</wp:posOffset>
          </wp:positionH>
          <wp:positionV relativeFrom="page">
            <wp:posOffset>9612000</wp:posOffset>
          </wp:positionV>
          <wp:extent cx="1317221" cy="288000"/>
          <wp:effectExtent l="0" t="0" r="0" b="0"/>
          <wp:wrapNone/>
          <wp:docPr id="102" name="Logo"/>
          <wp:cNvGraphicFramePr>
            <a:graphicFrameLocks noChangeAspect="1"/>
          </wp:cNvGraphicFramePr>
          <a:graphic>
            <a:graphicData uri="http://schemas.openxmlformats.org/drawingml/2006/picture">
              <pic:pic>
                <pic:nvPicPr>
                  <pic:cNvPr id="102" name="Logo"/>
                  <pic:cNvPicPr/>
                </pic:nvPicPr>
                <pic:blipFill>
                  <a:blip r:embed="rIdL"/>
                  <a:stretch>
                    <a:fillRect/>
                  </a:stretch>
                </pic:blipFill>
                <pic:spPr>
                  <a:xfrm>
                    <a:off x="0" y="0"/>
                    <a:ext cx="1317221" cy="288000"/>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Bdr>
        <w:bottom w:val="single" w:sz="4" w:space="6" w:color="E1E6E8"/>
      </w:pBdr>
    </w:pPr>
    <w:sdt>
      <w:sdtPr>
        <w:alias w:val="Título del documento"/>
        <w:tag w:val="titulo"/>
        <w:id w:val="2"/>
        <w:dataBinding w:prefixMappings="xmlns:ns0='http://purl.org/dc/elements/1.1/' xmlns:ns1='http://schemas.openxmlformats.org/package/2006/metadata/core-properties'" w:xpath="/ns1:coreProperties[1]/ns0:title[1]" w:storeItemID="{6C3C8BC8-F283-45AE-878A-BAB7291924A1}"/>
        <w:text/>
      </w:sdtPr>
      <w:sdtContent>
        <w:r>
          <w:t xml:space="preserve">Título del documento</w:t>
        </w:r>
      </w:sdtContent>
    </w:sdt>
    <w:r>
      <w:tab/>
    </w:r>
    <w:r>
      <w:drawing>
        <wp:inline distT="0" distB="0" distL="0" distR="0">
          <wp:extent cx="658611" cy="144000"/>
          <wp:effectExtent l="0" t="0" r="0" b="0"/>
          <wp:docPr id="103" name="Logo"/>
          <wp:cNvGraphicFramePr>
            <a:graphicFrameLocks noChangeAspect="1"/>
          </wp:cNvGraphicFramePr>
          <a:graphic>
            <a:graphicData uri="http://schemas.openxmlformats.org/drawingml/2006/picture">
              <pic:pic>
                <pic:nvPicPr>
                  <pic:cNvPr id="103" name="Logo"/>
                  <pic:cNvPicPr/>
                </pic:nvPicPr>
                <pic:blipFill>
                  <a:blip r:embed="rIdL"/>
                  <a:stretch>
                    <a:fillRect/>
                  </a:stretch>
                </pic:blipFill>
                <pic:spPr>
                  <a:xfrm>
                    <a:off x="0" y="0"/>
                    <a:ext cx="658611" cy="14400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multilevel"/>
    <w:lvl w:ilvl="0">
      <w:start w:val="1"/>
      <w:numFmt w:val="decimal"/>
      <w:pStyle w:val="Heading1"/>
      <w:suff w:val="space"/>
      <w:lvlText w:val="%1."/>
      <w:lvlJc w:val="left"/>
      <w:pPr>
        <w:ind w:left="0" w:hanging="0"/>
      </w:pPr>
      <w:rPr>
        <w:color w:val="04747A"/>
      </w:rPr>
    </w:lvl>
    <w:lvl w:ilvl="1">
      <w:start w:val="1"/>
      <w:numFmt w:val="decimal"/>
      <w:pStyle w:val="Heading2"/>
      <w:suff w:val="space"/>
      <w:lvlText w:val="%1.%2"/>
      <w:lvlJc w:val="left"/>
      <w:pPr>
        <w:ind w:left="0" w:hanging="0"/>
      </w:pPr>
    </w:lvl>
    <w:lvl w:ilvl="2">
      <w:start w:val="1"/>
      <w:numFmt w:val="none"/>
      <w:lvlText w:val=""/>
      <w:lvlJc w:val="left"/>
      <w:pPr>
        <w:ind w:left="0" w:hanging="0"/>
      </w:pPr>
    </w:lvl>
    <w:lvl w:ilvl="3">
      <w:start w:val="1"/>
      <w:numFmt w:val="none"/>
      <w:lvlText w:val=""/>
      <w:lvlJc w:val="left"/>
      <w:pPr>
        <w:ind w:left="0" w:hanging="0"/>
      </w:pPr>
    </w:lvl>
    <w:lvl w:ilvl="4">
      <w:start w:val="1"/>
      <w:numFmt w:val="none"/>
      <w:lvlText w:val=""/>
      <w:lvlJc w:val="left"/>
      <w:pPr>
        <w:ind w:left="0" w:hanging="0"/>
      </w:pPr>
    </w:lvl>
    <w:lvl w:ilvl="5">
      <w:start w:val="1"/>
      <w:numFmt w:val="none"/>
      <w:lvlText w:val=""/>
      <w:lvlJc w:val="left"/>
      <w:pPr>
        <w:ind w:left="0" w:hanging="0"/>
      </w:pPr>
    </w:lvl>
    <w:lvl w:ilvl="6">
      <w:start w:val="1"/>
      <w:numFmt w:val="none"/>
      <w:lvlText w:val=""/>
      <w:lvlJc w:val="left"/>
      <w:pPr>
        <w:ind w:left="0" w:hanging="0"/>
      </w:pPr>
    </w:lvl>
    <w:lvl w:ilvl="7">
      <w:start w:val="1"/>
      <w:numFmt w:val="none"/>
      <w:lvlText w:val=""/>
      <w:lvlJc w:val="left"/>
      <w:pPr>
        <w:ind w:left="0" w:hanging="0"/>
      </w:pPr>
    </w:lvl>
    <w:lvl w:ilvl="8">
      <w:start w:val="1"/>
      <w:numFmt w:val="none"/>
      <w:lvlText w:val=""/>
      <w:lvlJc w:val="left"/>
      <w:pPr>
        <w:ind w:left="0" w:hanging="0"/>
      </w:pPr>
    </w:lvl>
  </w:abstractNum>
  <w:abstractNum w:abstractNumId="1">
    <w:multiLevelType w:val="hybridMultilevel"/>
    <w:lvl w:ilvl="0">
      <w:start w:val="1"/>
      <w:numFmt w:val="bullet"/>
      <w:lvlText w:val="•"/>
      <w:lvlJc w:val="left"/>
      <w:pPr>
        <w:ind w:left="284" w:hanging="284"/>
      </w:pPr>
      <w:rPr>
        <w:rFonts w:ascii="IBM Plex Sans" w:hAnsi="IBM Plex Sans" w:eastAsia="IBM Plex Sans" w:cs="IBM Plex Sans"/>
        <w:color w:val="04747A"/>
      </w:rPr>
    </w:lvl>
    <w:lvl w:ilvl="1">
      <w:start w:val="1"/>
      <w:numFmt w:val="bullet"/>
      <w:lvlText w:val="•"/>
      <w:lvlJc w:val="left"/>
      <w:pPr>
        <w:ind w:left="568" w:hanging="284"/>
      </w:pPr>
      <w:rPr>
        <w:rFonts w:ascii="IBM Plex Sans" w:hAnsi="IBM Plex Sans" w:eastAsia="IBM Plex Sans" w:cs="IBM Plex Sans"/>
        <w:color w:val="5F6368"/>
      </w:rPr>
    </w:lvl>
    <w:lvl w:ilvl="2">
      <w:start w:val="1"/>
      <w:numFmt w:val="bullet"/>
      <w:lvlText w:val="•"/>
      <w:lvlJc w:val="left"/>
      <w:pPr>
        <w:ind w:left="852" w:hanging="284"/>
      </w:pPr>
      <w:rPr>
        <w:rFonts w:ascii="IBM Plex Sans" w:hAnsi="IBM Plex Sans" w:eastAsia="IBM Plex Sans" w:cs="IBM Plex Sans"/>
        <w:color w:val="5F6368"/>
      </w:rPr>
    </w:lvl>
    <w:lvl w:ilvl="3">
      <w:start w:val="1"/>
      <w:numFmt w:val="bullet"/>
      <w:lvlText w:val="•"/>
      <w:lvlJc w:val="left"/>
      <w:pPr>
        <w:ind w:left="1136" w:hanging="284"/>
      </w:pPr>
      <w:rPr>
        <w:rFonts w:ascii="IBM Plex Sans" w:hAnsi="IBM Plex Sans" w:eastAsia="IBM Plex Sans" w:cs="IBM Plex Sans"/>
        <w:color w:val="5F6368"/>
      </w:rPr>
    </w:lvl>
    <w:lvl w:ilvl="4">
      <w:start w:val="1"/>
      <w:numFmt w:val="bullet"/>
      <w:lvlText w:val="•"/>
      <w:lvlJc w:val="left"/>
      <w:pPr>
        <w:ind w:left="1420" w:hanging="284"/>
      </w:pPr>
      <w:rPr>
        <w:rFonts w:ascii="IBM Plex Sans" w:hAnsi="IBM Plex Sans" w:eastAsia="IBM Plex Sans" w:cs="IBM Plex Sans"/>
        <w:color w:val="5F6368"/>
      </w:rPr>
    </w:lvl>
    <w:lvl w:ilvl="5">
      <w:start w:val="1"/>
      <w:numFmt w:val="bullet"/>
      <w:lvlText w:val="•"/>
      <w:lvlJc w:val="left"/>
      <w:pPr>
        <w:ind w:left="1704" w:hanging="284"/>
      </w:pPr>
      <w:rPr>
        <w:rFonts w:ascii="IBM Plex Sans" w:hAnsi="IBM Plex Sans" w:eastAsia="IBM Plex Sans" w:cs="IBM Plex Sans"/>
        <w:color w:val="5F6368"/>
      </w:rPr>
    </w:lvl>
    <w:lvl w:ilvl="6">
      <w:start w:val="1"/>
      <w:numFmt w:val="bullet"/>
      <w:lvlText w:val="•"/>
      <w:lvlJc w:val="left"/>
      <w:pPr>
        <w:ind w:left="1988" w:hanging="284"/>
      </w:pPr>
      <w:rPr>
        <w:rFonts w:ascii="IBM Plex Sans" w:hAnsi="IBM Plex Sans" w:eastAsia="IBM Plex Sans" w:cs="IBM Plex Sans"/>
        <w:color w:val="5F6368"/>
      </w:rPr>
    </w:lvl>
    <w:lvl w:ilvl="7">
      <w:start w:val="1"/>
      <w:numFmt w:val="bullet"/>
      <w:lvlText w:val="•"/>
      <w:lvlJc w:val="left"/>
      <w:pPr>
        <w:ind w:left="2272" w:hanging="284"/>
      </w:pPr>
      <w:rPr>
        <w:rFonts w:ascii="IBM Plex Sans" w:hAnsi="IBM Plex Sans" w:eastAsia="IBM Plex Sans" w:cs="IBM Plex Sans"/>
        <w:color w:val="5F6368"/>
      </w:rPr>
    </w:lvl>
    <w:lvl w:ilvl="8">
      <w:start w:val="1"/>
      <w:numFmt w:val="bullet"/>
      <w:lvlText w:val="•"/>
      <w:lvlJc w:val="left"/>
      <w:pPr>
        <w:ind w:left="2556" w:hanging="284"/>
      </w:pPr>
      <w:rPr>
        <w:rFonts w:ascii="IBM Plex Sans" w:hAnsi="IBM Plex Sans" w:eastAsia="IBM Plex Sans" w:cs="IBM Plex Sans"/>
        <w:color w:val="5F6368"/>
      </w:rPr>
    </w:lvl>
  </w:abstractNum>
  <w:abstractNum w:abstractNumId="2">
    <w:multiLevelType w:val="hybridMultilevel"/>
    <w:lvl w:ilvl="0">
      <w:start w:val="1"/>
      <w:numFmt w:val="decimal"/>
      <w:lvlText w:val="%1."/>
      <w:lvlJc w:val="left"/>
      <w:pPr>
        <w:ind w:left="284" w:hanging="284"/>
      </w:pPr>
    </w:lvl>
    <w:lvl w:ilvl="1">
      <w:start w:val="1"/>
      <w:numFmt w:val="lowerLetter"/>
      <w:lvlText w:val="%2."/>
      <w:lvlJc w:val="left"/>
      <w:pPr>
        <w:ind w:left="568" w:hanging="284"/>
      </w:pPr>
    </w:lvl>
    <w:lvl w:ilvl="2">
      <w:start w:val="1"/>
      <w:numFmt w:val="decimal"/>
      <w:lvlText w:val="%3."/>
      <w:lvlJc w:val="left"/>
      <w:pPr>
        <w:ind w:left="852" w:hanging="284"/>
      </w:pPr>
    </w:lvl>
    <w:lvl w:ilvl="3">
      <w:start w:val="1"/>
      <w:numFmt w:val="lowerLetter"/>
      <w:lvlText w:val="%4."/>
      <w:lvlJc w:val="left"/>
      <w:pPr>
        <w:ind w:left="1136" w:hanging="284"/>
      </w:pPr>
    </w:lvl>
    <w:lvl w:ilvl="4">
      <w:start w:val="1"/>
      <w:numFmt w:val="decimal"/>
      <w:lvlText w:val="%5."/>
      <w:lvlJc w:val="left"/>
      <w:pPr>
        <w:ind w:left="1420" w:hanging="284"/>
      </w:pPr>
    </w:lvl>
    <w:lvl w:ilvl="5">
      <w:start w:val="1"/>
      <w:numFmt w:val="lowerLetter"/>
      <w:lvlText w:val="%6."/>
      <w:lvlJc w:val="left"/>
      <w:pPr>
        <w:ind w:left="1704" w:hanging="284"/>
      </w:pPr>
    </w:lvl>
    <w:lvl w:ilvl="6">
      <w:start w:val="1"/>
      <w:numFmt w:val="decimal"/>
      <w:lvlText w:val="%7."/>
      <w:lvlJc w:val="left"/>
      <w:pPr>
        <w:ind w:left="1988" w:hanging="284"/>
      </w:pPr>
    </w:lvl>
    <w:lvl w:ilvl="7">
      <w:start w:val="1"/>
      <w:numFmt w:val="lowerLetter"/>
      <w:lvlText w:val="%8."/>
      <w:lvlJc w:val="left"/>
      <w:pPr>
        <w:ind w:left="2272" w:hanging="284"/>
      </w:pPr>
    </w:lvl>
    <w:lvl w:ilvl="8">
      <w:start w:val="1"/>
      <w:numFmt w:val="decimal"/>
      <w:lvlText w:val="%9."/>
      <w:lvlJc w:val="left"/>
      <w:pPr>
        <w:ind w:left="2556" w:hanging="284"/>
      </w:pPr>
    </w:lvl>
  </w:abstractNum>
  <w:num w:numId="1">
    <w:abstractNumId w:val="0"/>
  </w:num>
  <w:num w:numId="2">
    <w:abstractNumId w:val="1"/>
  </w:num>
  <w:num w:numId="3">
    <w:abstractNumId w:val="2"/>
  </w:num>
  <w:num w:numId="100">
    <w:abstractNumId w:val="2"/>
    <w:lvlOverride w:ilvl="0">
      <w:startOverride w:val="1"/>
    </w:lvlOverride>
    <w:lvlOverride w:ilvl="1">
      <w:startOverride w:val="1"/>
    </w:lvlOverride>
  </w:num>
  <w:num w:numId="101">
    <w:abstractNumId w:val="2"/>
    <w:lvlOverride w:ilvl="0">
      <w:startOverride w:val="1"/>
    </w:lvlOverride>
    <w:lvlOverride w:ilvl="1">
      <w:startOverride w:val="1"/>
    </w:lvlOverride>
  </w:num>
  <w:num w:numId="102">
    <w:abstractNumId w:val="2"/>
    <w:lvlOverride w:ilvl="0">
      <w:startOverride w:val="1"/>
    </w:lvlOverride>
    <w:lvlOverride w:ilvl="1">
      <w:startOverride w:val="1"/>
    </w:lvlOverride>
  </w:num>
  <w:num w:numId="103">
    <w:abstractNumId w:val="2"/>
    <w:lvlOverride w:ilvl="0">
      <w:startOverride w:val="1"/>
    </w:lvlOverride>
    <w:lvlOverride w:ilvl="1">
      <w:startOverride w:val="1"/>
    </w:lvlOverride>
  </w:num>
  <w:num w:numId="104">
    <w:abstractNumId w:val="2"/>
    <w:lvlOverride w:ilvl="0">
      <w:startOverride w:val="1"/>
    </w:lvlOverride>
    <w:lvlOverride w:ilvl="1">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mbedTrueTypeFonts/>
  <w:defaultTabStop w:val="709"/>
  <w:characterSpacingControl w:val="doNotCompress"/>
  <w:updateFields w:val="true"/>
  <w:themeFontLang w:val="es-E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IBM Plex Sans" w:hAnsi="IBM Plex Sans" w:eastAsia="IBM Plex Sans" w:cs="IBM Plex Sans"/>
        <w:color w:val="000000"/>
        <w:sz w:val="21"/>
        <w:szCs w:val="21"/>
        <w:lang w:val="es-ES" w:eastAsia="es-ES"/>
      </w:rPr>
    </w:rPrDefault>
    <w:pPrDefault>
      <w:pPr>
        <w:spacing w:after="160" w:line="348" w:lineRule="auto"/>
      </w:pPr>
    </w:pPrDefault>
  </w:docDefaults>
  <w:style w:type="paragraph" w:default="1" w:styleId="Normal">
    <w:name w:val="Normal"/>
    <w:qFormat/>
    <w:rPr>
      <w:rFonts w:ascii="IBM Plex Sans" w:hAnsi="IBM Plex Sans" w:eastAsia="IBM Plex Sans" w:cs="IBM Plex Sans"/>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uloPortada">
    <w:name w:val="Título portada"/>
    <w:basedOn w:val="Normal"/>
    <w:next w:val="Subtitle"/>
    <w:qFormat/>
    <w:pPr>
      <w:spacing w:before="0" w:after="120" w:line="240" w:lineRule="auto"/>
    </w:pPr>
    <w:rPr>
      <w:rFonts w:ascii="IBM Plex Sans Light" w:hAnsi="IBM Plex Sans Light" w:eastAsia="IBM Plex Sans Light" w:cs="IBM Plex Sans Light"/>
      <w:color w:val="FFFFFF"/>
      <w:sz w:val="68"/>
      <w:szCs w:val="68"/>
    </w:rPr>
  </w:style>
  <w:style w:type="paragraph" w:styleId="Subtitle">
    <w:name w:val="Subtitle"/>
    <w:basedOn w:val="Normal"/>
    <w:next w:val="Normal"/>
    <w:qFormat/>
    <w:pPr>
      <w:spacing w:after="0"/>
    </w:pPr>
    <w:rPr>
      <w:rFonts w:ascii="IBM Plex Sans Light" w:hAnsi="IBM Plex Sans Light" w:eastAsia="IBM Plex Sans Light" w:cs="IBM Plex Sans Light"/>
      <w:color w:val="FFFFFF"/>
      <w:sz w:val="28"/>
    </w:rPr>
  </w:style>
  <w:style w:type="paragraph" w:styleId="Antettulo">
    <w:name w:val="Antetítulo"/>
    <w:basedOn w:val="Normal"/>
    <w:next w:val="Normal"/>
    <w:qFormat/>
    <w:pPr>
      <w:spacing w:after="80"/>
    </w:pPr>
    <w:rPr>
      <w:rFonts w:ascii="IBM Plex Sans Medium" w:hAnsi="IBM Plex Sans Medium" w:eastAsia="IBM Plex Sans Medium" w:cs="IBM Plex Sans Medium"/>
      <w:caps/>
      <w:color w:val="5F6368"/>
      <w:spacing w:val="21"/>
      <w:sz w:val="16"/>
    </w:rPr>
  </w:style>
  <w:style w:type="paragraph" w:styleId="AntettuloPortada">
    <w:name w:val="Antetítulo portada"/>
    <w:basedOn w:val="Antettulo"/>
    <w:next w:val="TituloPortada"/>
    <w:qFormat/>
    <w:pPr>
      <w:spacing w:before="5200" w:after="160"/>
    </w:pPr>
    <w:rPr>
      <w:rFonts w:ascii="IBM Plex Sans Medium" w:hAnsi="IBM Plex Sans Medium" w:eastAsia="IBM Plex Sans Medium" w:cs="IBM Plex Sans Medium"/>
      <w:caps/>
      <w:color w:val="EAF942"/>
      <w:spacing w:val="21"/>
      <w:sz w:val="16"/>
    </w:rPr>
  </w:style>
  <w:style w:type="paragraph" w:styleId="Heading1">
    <w:name w:val="heading 1"/>
    <w:basedOn w:val="Normal"/>
    <w:next w:val="Normal"/>
    <w:qFormat/>
    <w:pPr>
      <w:keepNext/>
      <w:keepLines/>
      <w:numPr>
        <w:numId w:val="1"/>
      </w:numPr>
      <w:spacing w:before="480" w:after="120" w:line="240" w:lineRule="auto"/>
      <w:outlineLvl w:val="0"/>
    </w:pPr>
    <w:rPr>
      <w:rFonts w:ascii="IBM Plex Sans Light" w:hAnsi="IBM Plex Sans Light" w:eastAsia="IBM Plex Sans Light" w:cs="IBM Plex Sans Light"/>
      <w:sz w:val="32"/>
      <w:szCs w:val="32"/>
    </w:rPr>
  </w:style>
  <w:style w:type="paragraph" w:styleId="Heading2">
    <w:name w:val="heading 2"/>
    <w:basedOn w:val="Normal"/>
    <w:next w:val="Normal"/>
    <w:qFormat/>
    <w:pPr>
      <w:keepNext/>
      <w:keepLines/>
      <w:numPr>
        <w:ilvl w:val="1"/>
        <w:numId w:val="1"/>
      </w:numPr>
      <w:spacing w:before="280" w:after="80"/>
      <w:outlineLvl w:val="1"/>
    </w:pPr>
    <w:rPr>
      <w:rFonts w:ascii="IBM Plex Sans Medium" w:hAnsi="IBM Plex Sans Medium" w:eastAsia="IBM Plex Sans Medium" w:cs="IBM Plex Sans Medium"/>
      <w:sz w:val="24"/>
      <w:szCs w:val="24"/>
    </w:rPr>
  </w:style>
  <w:style w:type="paragraph" w:styleId="Heading3">
    <w:name w:val="heading 3"/>
    <w:basedOn w:val="Normal"/>
    <w:next w:val="Normal"/>
    <w:qFormat/>
    <w:pPr>
      <w:keepNext/>
      <w:keepLines/>
      <w:spacing w:before="200" w:after="60"/>
      <w:outlineLvl w:val="2"/>
    </w:pPr>
    <w:rPr>
      <w:rFonts w:ascii="IBM Plex Sans Medium" w:hAnsi="IBM Plex Sans Medium" w:eastAsia="IBM Plex Sans Medium" w:cs="IBM Plex Sans Medium"/>
    </w:rPr>
  </w:style>
  <w:style w:type="paragraph" w:styleId="ListBullet">
    <w:name w:val="List Bullet"/>
    <w:basedOn w:val="Normal"/>
    <w:next w:val="Normal"/>
    <w:qFormat/>
    <w:pPr>
      <w:numPr>
        <w:numId w:val="2"/>
      </w:numPr>
      <w:spacing w:after="60"/>
      <w:contextualSpacing/>
    </w:pPr>
  </w:style>
  <w:style w:type="paragraph" w:styleId="ListNumber">
    <w:name w:val="List Number"/>
    <w:basedOn w:val="Normal"/>
    <w:next w:val="Normal"/>
    <w:qFormat/>
    <w:pPr>
      <w:numPr>
        <w:numId w:val="3"/>
      </w:numPr>
      <w:spacing w:after="60"/>
      <w:contextualSpacing/>
    </w:pPr>
  </w:style>
  <w:style w:type="paragraph" w:styleId="Destacado">
    <w:name w:val="Destacado"/>
    <w:basedOn w:val="Normal"/>
    <w:next w:val="Normal"/>
    <w:qFormat/>
    <w:pPr>
      <w:pBdr>
        <w:left w:val="single" w:sz="16" w:space="12" w:color="04747A"/>
      </w:pBdr>
      <w:spacing w:before="200" w:after="200" w:line="300" w:lineRule="auto"/>
      <w:ind w:left="284"/>
    </w:pPr>
    <w:rPr>
      <w:rFonts w:ascii="IBM Plex Sans Light" w:hAnsi="IBM Plex Sans Light" w:eastAsia="IBM Plex Sans Light" w:cs="IBM Plex Sans Light"/>
      <w:sz w:val="24"/>
      <w:szCs w:val="24"/>
    </w:rPr>
  </w:style>
  <w:style w:type="paragraph" w:styleId="Nota">
    <w:name w:val="Nota"/>
    <w:basedOn w:val="Normal"/>
    <w:next w:val="Normal"/>
    <w:qFormat/>
    <w:pPr>
      <w:spacing w:before="80" w:after="160" w:line="276" w:lineRule="auto"/>
    </w:pPr>
    <w:rPr>
      <w:color w:val="5F6368"/>
      <w:sz w:val="16"/>
    </w:rPr>
  </w:style>
  <w:style w:type="paragraph" w:styleId="Header">
    <w:name w:val="header"/>
    <w:basedOn w:val="Normal"/>
    <w:qFormat/>
    <w:pPr>
      <w:tabs>
        <w:tab w:val="right" w:pos="9412"/>
      </w:tabs>
      <w:spacing w:after="0" w:line="240" w:lineRule="auto"/>
    </w:pPr>
    <w:rPr>
      <w:color w:val="5F6368"/>
      <w:sz w:val="16"/>
    </w:rPr>
  </w:style>
  <w:style w:type="paragraph" w:styleId="Footer">
    <w:name w:val="footer"/>
    <w:basedOn w:val="Normal"/>
    <w:qFormat/>
    <w:pPr>
      <w:tabs>
        <w:tab w:val="right" w:pos="9412"/>
      </w:tabs>
      <w:spacing w:after="0" w:line="240" w:lineRule="auto"/>
    </w:pPr>
    <w:rPr>
      <w:color w:val="5F6368"/>
      <w:sz w:val="16"/>
    </w:rPr>
  </w:style>
  <w:style w:type="character" w:styleId="nfasis">
    <w:name w:val="Énfasis Docenteo"/>
    <w:basedOn w:val="DefaultParagraphFont"/>
    <w:qFormat/>
    <w:rPr>
      <w:rFonts w:ascii="IBM Plex Sans Medium" w:hAnsi="IBM Plex Sans Medium" w:eastAsia="IBM Plex Sans Medium" w:cs="IBM Plex Sans Medium"/>
    </w:rPr>
  </w:style>
  <w:style w:type="character" w:styleId="Strong">
    <w:name w:val="Strong"/>
    <w:basedOn w:val="DefaultParagraphFont"/>
    <w:qFormat/>
    <w:rPr>
      <w:rFonts w:ascii="IBM Plex Sans Medium" w:hAnsi="IBM Plex Sans Medium" w:eastAsia="IBM Plex Sans Medium" w:cs="IBM Plex Sans Medium"/>
    </w:rPr>
  </w:style>
  <w:style w:type="character" w:styleId="Hyperlink">
    <w:name w:val="Hyperlink"/>
    <w:basedOn w:val="DefaultParagraphFont"/>
    <w:qFormat/>
    <w:rPr>
      <w:color w:val="000000"/>
      <w:u w:val="single"/>
    </w:rPr>
  </w:style>
  <w:style w:type="table" w:styleId="TablaDocenteo">
    <w:name w:val="Tabla Docenteo"/>
    <w:basedOn w:val="TableNormal"/>
    <w:qFormat/>
    <w:pPr>
      <w:spacing w:before="0" w:after="0" w:line="264" w:lineRule="auto"/>
    </w:pPr>
    <w:rPr>
      <w:sz w:val="19"/>
    </w:rPr>
    <w:tblPr>
      <w:tblBorders>
        <w:bottom w:val="single" w:sz="4" w:space="0" w:color="E1E6E8"/>
        <w:insideH w:val="single" w:sz="4" w:space="0" w:color="E1E6E8"/>
      </w:tblBorders>
      <w:tblCellMar>
        <w:top w:w="96" w:type="dxa"/>
        <w:left w:w="0" w:type="dxa"/>
        <w:bottom w:w="96" w:type="dxa"/>
        <w:right w:w="170" w:type="dxa"/>
      </w:tblCellMar>
    </w:tblPr>
    <w:tblStylePr w:type="firstRow">
      <w:rPr>
        <w:rFonts w:ascii="IBM Plex Sans Medium" w:hAnsi="IBM Plex Sans Medium" w:eastAsia="IBM Plex Sans Medium" w:cs="IBM Plex Sans Medium"/>
        <w:caps/>
        <w:spacing w:val="18"/>
        <w:sz w:val="15"/>
      </w:rPr>
      <w:trPr>
        <w:tblHeader/>
      </w:trPr>
      <w:tcPr>
        <w:tcBorders>
          <w:bottom w:val="single" w:sz="6" w:space="0" w:color="000000"/>
        </w:tcBorders>
      </w:tcPr>
    </w:tblStyle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T" Type="http://schemas.openxmlformats.org/officeDocument/2006/relationships/settings" Target="settings.xml"/><Relationship Id="rIdFT" Type="http://schemas.openxmlformats.org/officeDocument/2006/relationships/fontTable" Target="fontTable.xml"/><Relationship Id="rIdH1" Type="http://schemas.openxmlformats.org/officeDocument/2006/relationships/header" Target="header1.xml"/><Relationship Id="rIdH2" Type="http://schemas.openxmlformats.org/officeDocument/2006/relationships/header" Target="header2.xml"/><Relationship Id="rIdF1" Type="http://schemas.openxmlformats.org/officeDocument/2006/relationships/footer" Target="footer1.xml"/><Relationship Id="rIdF2" Type="http://schemas.openxmlformats.org/officeDocument/2006/relationships/footer" Target="footer2.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s>
</file>

<file path=word/_rels/header1.xml.rels><?xml version="1.0" encoding="UTF-8" standalone="yes"?>
<Relationships xmlns="http://schemas.openxmlformats.org/package/2006/relationships"><Relationship Id="rIdG" Type="http://schemas.openxmlformats.org/officeDocument/2006/relationships/image" Target="media/portada.png"/><Relationship Id="rIdL" Type="http://schemas.openxmlformats.org/officeDocument/2006/relationships/image" Target="media/logo-negativo.png"/></Relationships>
</file>

<file path=word/_rels/header2.xml.rels><?xml version="1.0" encoding="UTF-8" standalone="yes"?>
<Relationships xmlns="http://schemas.openxmlformats.org/package/2006/relationships"><Relationship Id="rIdL" Type="http://schemas.openxmlformats.org/officeDocument/2006/relationships/image" Target="media/logo-positivo.png"/></Relationships>
</file>

<file path=docProps/core.xml><?xml version="1.0" encoding="utf-8"?>
<cp:coreProperties xmlns:cp="http://schemas.openxmlformats.org/package/2006/metadata/core-properties" xmlns:dc="http://purl.org/dc/elements/1.1/" xmlns:dcterms="http://purl.org/dc/terms/" xmlns:xsi="http://www.w3.org/2001/XMLSchema-instance">
  <dc:title>Auditoría general del proyecto</dc:title>
  <dc:creator>Docenteo</dc:creator>
  <dc:language>es-ES</dc:language>
</cp:coreProperties>
</file>