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Data You Think Is Protected Isn't</w:t>
      </w:r>
    </w:p>
    <w:p>
      <w:pPr>
        <w:pStyle w:val="Subtitle"/>
      </w:pPr>
      <w:r>
        <w:t xml:space="preserve">Understanding PHI, HIPAA, and AI—What Makes This Different</w:t>
      </w:r>
    </w:p>
    <w:p>
      <w:pPr>
        <w:pStyle w:val="Heading1"/>
      </w:pPr>
      <w:r>
        <w:t xml:space="preserve">Introduction: Why AI Changes Everything</w:t>
      </w:r>
    </w:p>
    <w:p>
      <w:pPr>
        <w:spacing w:after="200"/>
      </w:pPr>
      <w:r>
        <w:t xml:space="preserve">In September 2024, a physician at an Ontario hospital installed Otter.ai—an AI transcription tool—on his personal device. He'd left the hospital over a year earlier but was still on the invite list for weekly hepatology rounds. When the next meeting started, the Otter bot joined automatically, recorded physicians discussing seven patients by name, and emailed a transcript to 65 people—including 12 who no longer worked at the hospital.</w:t>
      </w:r>
    </w:p>
    <w:p>
      <w:pPr>
        <w:spacing w:after="200"/>
      </w:pPr>
      <w:r>
        <w:t xml:space="preserve">No one in the meeting knew the bot was there. The physician who installed it may not have realized it would do this. The breach wasn't discovered until the emails went out. Patient names, diagnoses, and treatment details were now sitting in the inboxes of people who had no business seeing them—and on Otter's servers, where the company's privacy policy allows use of recordings to train their AI models.</w:t>
      </w:r>
    </w:p>
    <w:p>
      <w:pPr>
        <w:spacing w:after="200"/>
      </w:pPr>
      <w:r>
        <w:t xml:space="preserve">This incident captures why AI is genuinely different from previous healthcare technology. It's not just a faster fax machine or a better database. AI tools can act autonomously, join meetings without invitation, record without visible indication, and transmit data to external servers in ways that bypass every traditional safeguard. The regulatory framework—HIPAA, designed in 1996 for paper charts and fax machines—wasn't built for software that learns from every input and can take actions on its own.</w:t>
      </w:r>
    </w:p>
    <w:p>
      <w:pPr>
        <w:spacing w:after="200"/>
      </w:pPr>
      <w:r>
        <w:t xml:space="preserve">This guide will help you understand where the real risks are. We'll cover the basics of HIPAA and PHI, but the goal isn't comprehensive compliance training—it's developing intuition for the edge cases that matter when AI enters clinical workflows. You'll learn to recognize three categories of PHI exposure that escalate in subtlety: </w:t>
      </w:r>
      <w:r>
        <w:rPr>
          <w:b/>
          <w:bCs/>
        </w:rPr>
        <w:t xml:space="preserve">direct PHI</w:t>
      </w:r>
      <w:r>
        <w:t xml:space="preserve"> (the obvious identifiers), </w:t>
      </w:r>
      <w:r>
        <w:rPr>
          <w:b/>
          <w:bCs/>
        </w:rPr>
        <w:t xml:space="preserve">indirect PHI</w:t>
      </w:r>
      <w:r>
        <w:t xml:space="preserve"> (data that becomes identifying when combined), and </w:t>
      </w:r>
      <w:r>
        <w:rPr>
          <w:b/>
          <w:bCs/>
        </w:rPr>
        <w:t xml:space="preserve">shadow AI</w:t>
      </w:r>
      <w:r>
        <w:t xml:space="preserve"> (the untracked tools that create compliance blind spots—like that Otter bot).</w:t>
      </w:r>
    </w:p>
    <w:p>
      <w:pPr>
        <w:pStyle w:val="Heading1"/>
      </w:pPr>
      <w:r>
        <w:t xml:space="preserve">Part 1: What Makes AI Different</w:t>
      </w:r>
    </w:p>
    <w:p>
      <w:pPr>
        <w:spacing w:after="200"/>
      </w:pPr>
      <w:r>
        <w:t xml:space="preserve">Before diving into regulations, it's worth understanding why AI creates genuinely new challenges—not just faster versions of old problems.</w:t>
      </w:r>
    </w:p>
    <w:p>
      <w:pPr>
        <w:pStyle w:val="Heading2"/>
      </w:pPr>
      <w:r>
        <w:t xml:space="preserve">Traditional Technology vs. AI</w:t>
      </w:r>
    </w:p>
    <w:p>
      <w:pPr>
        <w:spacing w:after="200"/>
      </w:pPr>
      <w:r>
        <w:t xml:space="preserve">Traditional healthcare IT systems—EHRs, billing systems, scheduling software—are essentially sophisticated databases. They store what you put in, retrieve what you ask for, and follow deterministic rules. If patient data leaks, it's usually because of a configuration error, a hack, or human mistake. The system itself doesn't learn, doesn't act autonomously, and doesn't transmit data unless explicitly programmed to.</w:t>
      </w:r>
    </w:p>
    <w:p>
      <w:pPr>
        <w:spacing w:after="200"/>
      </w:pPr>
      <w:r>
        <w:t xml:space="preserve">AI systems are fundamentally different in several ways that matter for privacy:</w:t>
      </w:r>
    </w:p>
    <w:p>
      <w:pPr>
        <w:spacing w:after="100"/>
      </w:pPr>
      <w:r>
        <w:rPr>
          <w:b/>
          <w:bCs/>
        </w:rPr>
        <w:t xml:space="preserve">They learn from data:</w:t>
      </w:r>
    </w:p>
    <w:p>
      <w:pPr>
        <w:spacing w:after="150"/>
      </w:pPr>
      <w:r>
        <w:t xml:space="preserve">When you enter patient information into an AI system, it may become part of the model's training data—embedded in the weights of a neural network in ways that are difficult to audit and impossible to fully "delete." Your input doesn't just pass through; it can change what the system knows.</w:t>
      </w:r>
    </w:p>
    <w:p>
      <w:pPr>
        <w:spacing w:after="100"/>
      </w:pPr>
      <w:r>
        <w:rPr>
          <w:b/>
          <w:bCs/>
        </w:rPr>
        <w:t xml:space="preserve">They can act autonomously:</w:t>
      </w:r>
    </w:p>
    <w:p>
      <w:pPr>
        <w:spacing w:after="150"/>
      </w:pPr>
      <w:r>
        <w:t xml:space="preserve">The Otter bot joined a meeting on its own. No one clicked a button. It saw a calendar invite and acted. Increasingly, AI tools are "agentic"—capable of taking actions based on triggers, without human initiation. This means data flows you didn't explicitly authorize.</w:t>
      </w:r>
    </w:p>
    <w:p>
      <w:pPr>
        <w:spacing w:after="100"/>
      </w:pPr>
      <w:r>
        <w:rPr>
          <w:b/>
          <w:bCs/>
        </w:rPr>
        <w:t xml:space="preserve">They often require external transmission:</w:t>
      </w:r>
    </w:p>
    <w:p>
      <w:pPr>
        <w:spacing w:after="150"/>
      </w:pPr>
      <w:r>
        <w:t xml:space="preserve">Most AI tools process data on external servers. When you paste patient notes into ChatGPT, that data travels to OpenAI's infrastructure. Even "local" AI often phones home for model updates or analytics. The moment data leaves your network, you've lost direct control.</w:t>
      </w:r>
    </w:p>
    <w:p>
      <w:pPr>
        <w:spacing w:after="100"/>
      </w:pPr>
      <w:r>
        <w:rPr>
          <w:b/>
          <w:bCs/>
        </w:rPr>
        <w:t xml:space="preserve">They can generate plausible-but-wrong output:</w:t>
      </w:r>
    </w:p>
    <w:p>
      <w:pPr>
        <w:spacing w:after="150"/>
      </w:pPr>
      <w:r>
        <w:t xml:space="preserve">AI doesn't just retrieve information—it generates it. A traditional database returns exactly what's stored. An AI might fabricate a medication dose, invent a patient history, or hallucinate details that sound authoritative but are wrong. This creates new liability and safety concerns beyond privacy.</w:t>
      </w:r>
    </w:p>
    <w:p>
      <w:pPr>
        <w:spacing w:after="100"/>
      </w:pPr>
      <w:r>
        <w:rPr>
          <w:b/>
          <w:bCs/>
        </w:rPr>
        <w:t xml:space="preserve">The data flow is often opaque:</w:t>
      </w:r>
    </w:p>
    <w:p>
      <w:pPr>
        <w:spacing w:after="200"/>
      </w:pPr>
      <w:r>
        <w:t xml:space="preserve">With a traditional system, you can usually trace exactly where data goes. With AI, especially tools that integrate with calendars, email, and other systems, the data flow can be surprisingly complex. That Otter bot accessed a calendar, joined a video call, captured audio, generated a transcript, and sent emails—all from a single app installation.</w:t>
      </w:r>
    </w:p>
    <w:p>
      <w:pPr>
        <w:pStyle w:val="Heading2"/>
      </w:pPr>
      <w:r>
        <w:t xml:space="preserve">The Velocity Problem</w:t>
      </w:r>
    </w:p>
    <w:p>
      <w:pPr>
        <w:spacing w:after="200"/>
      </w:pPr>
      <w:r>
        <w:t xml:space="preserve">New AI tools appear weekly. Employees adopt them because they genuinely help—who wouldn't want to cut documentation time in half? But each tool potentially creates a new data flow, a new vendor relationship, and a new compliance gap. Traditional IT governance, with its months-long procurement cycles, can't keep pace. By the time a tool is formally evaluated, half the staff may already be using it.</w:t>
      </w:r>
    </w:p>
    <w:p>
      <w:pPr>
        <w:spacing w:after="200"/>
      </w:pPr>
      <w:r>
        <w:t xml:space="preserve">This isn't just a healthcare problem, but healthcare faces it acutely because the data is so sensitive and the regulations are so specific. A breach of marketing data is embarrassing; a breach of medical records can be devastating for patients and catastrophic for organizations.</w:t>
      </w:r>
    </w:p>
    <w:p>
      <w:r>
        <w:br w:type="page"/>
      </w:r>
    </w:p>
    <w:p>
      <w:pPr>
        <w:pStyle w:val="Heading1"/>
      </w:pPr>
      <w:r>
        <w:t xml:space="preserve">Part 2: HIPAA Fundamentals for AI Applications</w:t>
      </w:r>
    </w:p>
    <w:p>
      <w:pPr>
        <w:pStyle w:val="Heading2"/>
      </w:pPr>
      <w:r>
        <w:t xml:space="preserve">Who HIPAA Actually Covers (and Who It Doesn't)</w:t>
      </w:r>
    </w:p>
    <w:p>
      <w:pPr>
        <w:spacing w:after="200"/>
      </w:pPr>
      <w:r>
        <w:t xml:space="preserve">HIPAA is an entity-based framework, not a data-based one. This distinction is critical. The law doesn't protect "health data"—it protects health data held by specific types of organizations.</w:t>
      </w:r>
    </w:p>
    <w:p>
      <w:pPr>
        <w:spacing w:after="100"/>
      </w:pPr>
      <w:r>
        <w:rPr>
          <w:b/>
          <w:bCs/>
        </w:rPr>
        <w:t xml:space="preserve">Covered Entities:</w:t>
      </w:r>
    </w:p>
    <w:p>
      <w:pPr>
        <w:pStyle w:val="ListParagraph"/>
        <w:numPr>
          <w:ilvl w:val="0"/>
          <w:numId w:val="2"/>
        </w:numPr>
      </w:pPr>
      <w:r>
        <w:t xml:space="preserve">Health plans (insurers, HMOs, employer-sponsored plans)</w:t>
      </w:r>
    </w:p>
    <w:p>
      <w:pPr>
        <w:pStyle w:val="ListParagraph"/>
        <w:numPr>
          <w:ilvl w:val="0"/>
          <w:numId w:val="2"/>
        </w:numPr>
      </w:pPr>
      <w:r>
        <w:t xml:space="preserve">Healthcare clearinghouses</w:t>
      </w:r>
    </w:p>
    <w:p>
      <w:pPr>
        <w:pStyle w:val="ListParagraph"/>
        <w:numPr>
          <w:ilvl w:val="0"/>
          <w:numId w:val="2"/>
        </w:numPr>
        <w:spacing w:after="150"/>
      </w:pPr>
      <w:r>
        <w:t xml:space="preserve">Healthcare providers who transmit health information electronically</w:t>
      </w:r>
    </w:p>
    <w:p>
      <w:pPr>
        <w:spacing w:after="100"/>
      </w:pPr>
      <w:r>
        <w:rPr>
          <w:b/>
          <w:bCs/>
        </w:rPr>
        <w:t xml:space="preserve">Business Associates:</w:t>
      </w:r>
    </w:p>
    <w:p>
      <w:pPr>
        <w:spacing w:after="200"/>
      </w:pPr>
      <w:r>
        <w:t xml:space="preserve">Entities that create, receive, maintain, or transmit PHI on behalf of covered entities. This includes many AI vendors—</w:t>
      </w:r>
      <w:r>
        <w:rPr>
          <w:i/>
          <w:iCs/>
        </w:rPr>
        <w:t xml:space="preserve">if</w:t>
      </w:r>
      <w:r>
        <w:t xml:space="preserve"> they've signed a Business Associate Agreement (BAA).</w:t>
      </w:r>
    </w:p>
    <w:p>
      <w:pPr>
        <w:spacing w:after="100"/>
      </w:pPr>
      <w:r>
        <w:rPr>
          <w:b/>
          <w:bCs/>
        </w:rPr>
        <w:t xml:space="preserve">Not Covered:</w:t>
      </w:r>
    </w:p>
    <w:p>
      <w:pPr>
        <w:pStyle w:val="ListParagraph"/>
        <w:numPr>
          <w:ilvl w:val="0"/>
          <w:numId w:val="2"/>
        </w:numPr>
      </w:pPr>
      <w:r>
        <w:t xml:space="preserve">Most health apps, fitness trackers, and consumer wearables</w:t>
      </w:r>
    </w:p>
    <w:p>
      <w:pPr>
        <w:pStyle w:val="ListParagraph"/>
        <w:numPr>
          <w:ilvl w:val="0"/>
          <w:numId w:val="2"/>
        </w:numPr>
      </w:pPr>
      <w:r>
        <w:t xml:space="preserve">Employers (even when they collect health data from employees)</w:t>
      </w:r>
    </w:p>
    <w:p>
      <w:pPr>
        <w:pStyle w:val="ListParagraph"/>
        <w:numPr>
          <w:ilvl w:val="0"/>
          <w:numId w:val="2"/>
        </w:numPr>
      </w:pPr>
      <w:r>
        <w:t xml:space="preserve">Schools and educational institutions</w:t>
      </w:r>
    </w:p>
    <w:p>
      <w:pPr>
        <w:pStyle w:val="ListParagraph"/>
        <w:numPr>
          <w:ilvl w:val="0"/>
          <w:numId w:val="2"/>
        </w:numPr>
      </w:pPr>
      <w:r>
        <w:t xml:space="preserve">Life insurers, workers' compensation carriers</w:t>
      </w:r>
    </w:p>
    <w:p>
      <w:pPr>
        <w:pStyle w:val="ListParagraph"/>
        <w:numPr>
          <w:ilvl w:val="0"/>
          <w:numId w:val="2"/>
        </w:numPr>
        <w:spacing w:after="200"/>
      </w:pPr>
      <w:r>
        <w:t xml:space="preserve">AI vendors without a BAA in place</w:t>
      </w:r>
    </w:p>
    <w:p>
      <w:pPr>
        <w:pStyle w:val="Callout"/>
        <w:spacing w:after="200"/>
      </w:pPr>
      <w:r>
        <w:rPr>
          <w:b/>
          <w:bCs/>
        </w:rPr>
        <w:t xml:space="preserve">The gap this creates:</w:t>
      </w:r>
      <w:r>
        <w:t xml:space="preserve"> When a patient enters symptoms into a consumer health app, or a clinician pastes notes into ChatGPT without a BAA, that data isn't protected by HIPAA. The FTC has stepped into some of this gap with the Health Breach Notification Rule, but enforcement is inconsistent and the protections are narrower.</w:t>
      </w:r>
    </w:p>
    <w:p>
      <w:pPr>
        <w:pStyle w:val="Heading2"/>
      </w:pPr>
      <w:r>
        <w:t xml:space="preserve">The Three HIPAA Rules That Matter for AI</w:t>
      </w:r>
    </w:p>
    <w:p>
      <w:pPr>
        <w:spacing w:after="100"/>
      </w:pPr>
      <w:r>
        <w:rPr>
          <w:b/>
          <w:bCs/>
        </w:rPr>
        <w:t xml:space="preserve">Privacy Rule:</w:t>
      </w:r>
    </w:p>
    <w:p>
      <w:pPr>
        <w:spacing w:after="150"/>
      </w:pPr>
      <w:r>
        <w:t xml:space="preserve">Governs how PHI can be used and disclosed. Key constraints for AI: PHI can generally only be used for treatment, payment, and healthcare operations without explicit patient authorization. Using PHI to train commercial AI models typically requires either authorization or de-identification.</w:t>
      </w:r>
    </w:p>
    <w:p>
      <w:pPr>
        <w:spacing w:after="100"/>
      </w:pPr>
      <w:r>
        <w:rPr>
          <w:b/>
          <w:bCs/>
        </w:rPr>
        <w:t xml:space="preserve">Security Rule:</w:t>
      </w:r>
    </w:p>
    <w:p>
      <w:pPr>
        <w:spacing w:after="150"/>
      </w:pPr>
      <w:r>
        <w:t xml:space="preserve">Requires administrative, physical, and technical safeguards for electronic PHI. In January 2025, HHS proposed the first major update in 20 years, eliminating the "addressable vs. required" distinction and mandating specific controls including encryption, multi-factor authentication, and 72-hour disaster recovery. AI systems processing ePHI will face these enhanced standards.</w:t>
      </w:r>
    </w:p>
    <w:p>
      <w:pPr>
        <w:spacing w:after="100"/>
      </w:pPr>
      <w:r>
        <w:rPr>
          <w:b/>
          <w:bCs/>
        </w:rPr>
        <w:t xml:space="preserve">Breach Notification Rule:</w:t>
      </w:r>
    </w:p>
    <w:p>
      <w:pPr>
        <w:spacing w:after="200"/>
      </w:pPr>
      <w:r>
        <w:t xml:space="preserve">Requires notification within 60 days of discovering a breach of unsecured PHI. From 2018-2023, large breaches increased 102% and affected individuals increased 1,002%. An AI system that inadvertently exposes PHI—whether through a security vulnerability or through training data leakage—triggers these requirements.</w:t>
      </w:r>
    </w:p>
    <w:p>
      <w:r>
        <w:br w:type="page"/>
      </w:r>
    </w:p>
    <w:p>
      <w:pPr>
        <w:pStyle w:val="Heading1"/>
      </w:pPr>
      <w:r>
        <w:t xml:space="preserve">Part 3: Direct PHI in AI Systems</w:t>
      </w:r>
    </w:p>
    <w:p>
      <w:pPr>
        <w:spacing w:after="200"/>
      </w:pPr>
      <w:r>
        <w:t xml:space="preserve">Direct PHI includes the 18 categories of identifiers that HIPAA's Safe Harbor de-identification method requires you to remove. These are the obvious markers that link data to individuals.</w:t>
      </w:r>
    </w:p>
    <w:p>
      <w:pPr>
        <w:pStyle w:val="Heading2"/>
      </w:pPr>
      <w:r>
        <w:t xml:space="preserve">The 18 Safe Harbor Identifiers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Identifier Category</w:t>
            </w:r>
          </w:p>
        </w:tc>
        <w:tc>
          <w:tcPr>
            <w:tcW w:type="dxa" w:w="468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AI-Specific Considerations</w:t>
            </w:r>
          </w:p>
        </w:tc>
      </w:tr>
      <w:tr>
        <w:tc>
          <w:tcPr>
            <w:tcW w:type="dxa" w:w="4680"/>
            <w:tcBorders>
              <w:top w:val="single" w:color="CCCCCC" w:sz="1"/>
              <w:left w:val="single" w:color="CCCCCC" w:sz="1"/>
              <w:bottom w:val="single" w:color="CCCCCC" w:sz="1"/>
              <w:right w:val="single" w:color="CCCCCC" w:sz="1"/>
            </w:tcBorders>
          </w:tcPr>
          <w:p>
            <w:r>
              <w:t xml:space="preserve">Names</w:t>
            </w:r>
          </w:p>
        </w:tc>
        <w:tc>
          <w:tcPr>
            <w:tcW w:type="dxa" w:w="4680"/>
            <w:tcBorders>
              <w:top w:val="single" w:color="CCCCCC" w:sz="1"/>
              <w:left w:val="single" w:color="CCCCCC" w:sz="1"/>
              <w:bottom w:val="single" w:color="CCCCCC" w:sz="1"/>
              <w:right w:val="single" w:color="CCCCCC" w:sz="1"/>
            </w:tcBorders>
          </w:tcPr>
          <w:p>
            <w:r>
              <w:t xml:space="preserve">May appear in transcription, NLP outputs, training data</w:t>
            </w:r>
          </w:p>
        </w:tc>
      </w:tr>
      <w:tr>
        <w:tc>
          <w:tcPr>
            <w:tcW w:type="dxa" w:w="4680"/>
            <w:tcBorders>
              <w:top w:val="single" w:color="CCCCCC" w:sz="1"/>
              <w:left w:val="single" w:color="CCCCCC" w:sz="1"/>
              <w:bottom w:val="single" w:color="CCCCCC" w:sz="1"/>
              <w:right w:val="single" w:color="CCCCCC" w:sz="1"/>
            </w:tcBorders>
          </w:tcPr>
          <w:p>
            <w:r>
              <w:t xml:space="preserve">Geographic data smaller than state</w:t>
            </w:r>
          </w:p>
        </w:tc>
        <w:tc>
          <w:tcPr>
            <w:tcW w:type="dxa" w:w="4680"/>
            <w:tcBorders>
              <w:top w:val="single" w:color="CCCCCC" w:sz="1"/>
              <w:left w:val="single" w:color="CCCCCC" w:sz="1"/>
              <w:bottom w:val="single" w:color="CCCCCC" w:sz="1"/>
              <w:right w:val="single" w:color="CCCCCC" w:sz="1"/>
            </w:tcBorders>
          </w:tcPr>
          <w:p>
            <w:r>
              <w:t xml:space="preserve">ZIP codes in combined datasets; geolocation in app data</w:t>
            </w:r>
          </w:p>
        </w:tc>
      </w:tr>
      <w:tr>
        <w:tc>
          <w:tcPr>
            <w:tcW w:type="dxa" w:w="4680"/>
            <w:tcBorders>
              <w:top w:val="single" w:color="CCCCCC" w:sz="1"/>
              <w:left w:val="single" w:color="CCCCCC" w:sz="1"/>
              <w:bottom w:val="single" w:color="CCCCCC" w:sz="1"/>
              <w:right w:val="single" w:color="CCCCCC" w:sz="1"/>
            </w:tcBorders>
          </w:tcPr>
          <w:p>
            <w:r>
              <w:t xml:space="preserve">Dates (except year) related to individual</w:t>
            </w:r>
          </w:p>
        </w:tc>
        <w:tc>
          <w:tcPr>
            <w:tcW w:type="dxa" w:w="4680"/>
            <w:tcBorders>
              <w:top w:val="single" w:color="CCCCCC" w:sz="1"/>
              <w:left w:val="single" w:color="CCCCCC" w:sz="1"/>
              <w:bottom w:val="single" w:color="CCCCCC" w:sz="1"/>
              <w:right w:val="single" w:color="CCCCCC" w:sz="1"/>
            </w:tcBorders>
          </w:tcPr>
          <w:p>
            <w:r>
              <w:t xml:space="preserve">Visit timestamps, DOB, admission/discharge dates</w:t>
            </w:r>
          </w:p>
        </w:tc>
      </w:tr>
      <w:tr>
        <w:tc>
          <w:tcPr>
            <w:tcW w:type="dxa" w:w="4680"/>
            <w:tcBorders>
              <w:top w:val="single" w:color="CCCCCC" w:sz="1"/>
              <w:left w:val="single" w:color="CCCCCC" w:sz="1"/>
              <w:bottom w:val="single" w:color="CCCCCC" w:sz="1"/>
              <w:right w:val="single" w:color="CCCCCC" w:sz="1"/>
            </w:tcBorders>
          </w:tcPr>
          <w:p>
            <w:r>
              <w:t xml:space="preserve">Phone/fax numbers, email addresses</w:t>
            </w:r>
          </w:p>
        </w:tc>
        <w:tc>
          <w:tcPr>
            <w:tcW w:type="dxa" w:w="4680"/>
            <w:tcBorders>
              <w:top w:val="single" w:color="CCCCCC" w:sz="1"/>
              <w:left w:val="single" w:color="CCCCCC" w:sz="1"/>
              <w:bottom w:val="single" w:color="CCCCCC" w:sz="1"/>
              <w:right w:val="single" w:color="CCCCCC" w:sz="1"/>
            </w:tcBorders>
          </w:tcPr>
          <w:p>
            <w:r>
              <w:t xml:space="preserve">Contact info in scheduling data, patient portals</w:t>
            </w:r>
          </w:p>
        </w:tc>
      </w:tr>
      <w:tr>
        <w:tc>
          <w:tcPr>
            <w:tcW w:type="dxa" w:w="4680"/>
            <w:tcBorders>
              <w:top w:val="single" w:color="CCCCCC" w:sz="1"/>
              <w:left w:val="single" w:color="CCCCCC" w:sz="1"/>
              <w:bottom w:val="single" w:color="CCCCCC" w:sz="1"/>
              <w:right w:val="single" w:color="CCCCCC" w:sz="1"/>
            </w:tcBorders>
          </w:tcPr>
          <w:p>
            <w:r>
              <w:t xml:space="preserve">SSN, medical record numbers</w:t>
            </w:r>
          </w:p>
        </w:tc>
        <w:tc>
          <w:tcPr>
            <w:tcW w:type="dxa" w:w="4680"/>
            <w:tcBorders>
              <w:top w:val="single" w:color="CCCCCC" w:sz="1"/>
              <w:left w:val="single" w:color="CCCCCC" w:sz="1"/>
              <w:bottom w:val="single" w:color="CCCCCC" w:sz="1"/>
              <w:right w:val="single" w:color="CCCCCC" w:sz="1"/>
            </w:tcBorders>
          </w:tcPr>
          <w:p>
            <w:r>
              <w:t xml:space="preserve">Often embedded in EHR exports used for training</w:t>
            </w:r>
          </w:p>
        </w:tc>
      </w:tr>
      <w:tr>
        <w:tc>
          <w:tcPr>
            <w:tcW w:type="dxa" w:w="4680"/>
            <w:tcBorders>
              <w:top w:val="single" w:color="CCCCCC" w:sz="1"/>
              <w:left w:val="single" w:color="CCCCCC" w:sz="1"/>
              <w:bottom w:val="single" w:color="CCCCCC" w:sz="1"/>
              <w:right w:val="single" w:color="CCCCCC" w:sz="1"/>
            </w:tcBorders>
          </w:tcPr>
          <w:p>
            <w:r>
              <w:t xml:space="preserve">Device identifiers, IP addresses</w:t>
            </w:r>
          </w:p>
        </w:tc>
        <w:tc>
          <w:tcPr>
            <w:tcW w:type="dxa" w:w="4680"/>
            <w:tcBorders>
              <w:top w:val="single" w:color="CCCCCC" w:sz="1"/>
              <w:left w:val="single" w:color="CCCCCC" w:sz="1"/>
              <w:bottom w:val="single" w:color="CCCCCC" w:sz="1"/>
              <w:right w:val="single" w:color="CCCCCC" w:sz="1"/>
            </w:tcBorders>
          </w:tcPr>
          <w:p>
            <w:r>
              <w:t xml:space="preserve">Logged by AI systems, app analytics, telehealth platforms</w:t>
            </w:r>
          </w:p>
        </w:tc>
      </w:tr>
      <w:tr>
        <w:tc>
          <w:tcPr>
            <w:tcW w:type="dxa" w:w="4680"/>
            <w:tcBorders>
              <w:top w:val="single" w:color="CCCCCC" w:sz="1"/>
              <w:left w:val="single" w:color="CCCCCC" w:sz="1"/>
              <w:bottom w:val="single" w:color="CCCCCC" w:sz="1"/>
              <w:right w:val="single" w:color="CCCCCC" w:sz="1"/>
            </w:tcBorders>
          </w:tcPr>
          <w:p>
            <w:r>
              <w:t xml:space="preserve">URLs, biometric identifiers, photos</w:t>
            </w:r>
          </w:p>
        </w:tc>
        <w:tc>
          <w:tcPr>
            <w:tcW w:type="dxa" w:w="4680"/>
            <w:tcBorders>
              <w:top w:val="single" w:color="CCCCCC" w:sz="1"/>
              <w:left w:val="single" w:color="CCCCCC" w:sz="1"/>
              <w:bottom w:val="single" w:color="CCCCCC" w:sz="1"/>
              <w:right w:val="single" w:color="CCCCCC" w:sz="1"/>
            </w:tcBorders>
          </w:tcPr>
          <w:p>
            <w:r>
              <w:t xml:space="preserve">CT/MRI reconstructions, voice prints, facial images</w:t>
            </w:r>
          </w:p>
        </w:tc>
      </w:tr>
      <w:tr>
        <w:tc>
          <w:tcPr>
            <w:tcW w:type="dxa" w:w="4680"/>
            <w:tcBorders>
              <w:top w:val="single" w:color="CCCCCC" w:sz="1"/>
              <w:left w:val="single" w:color="CCCCCC" w:sz="1"/>
              <w:bottom w:val="single" w:color="CCCCCC" w:sz="1"/>
              <w:right w:val="single" w:color="CCCCCC" w:sz="1"/>
            </w:tcBorders>
          </w:tcPr>
          <w:p>
            <w:r>
              <w:t xml:space="preserve">Any unique identifying number/code</w:t>
            </w:r>
          </w:p>
        </w:tc>
        <w:tc>
          <w:tcPr>
            <w:tcW w:type="dxa" w:w="4680"/>
            <w:tcBorders>
              <w:top w:val="single" w:color="CCCCCC" w:sz="1"/>
              <w:left w:val="single" w:color="CCCCCC" w:sz="1"/>
              <w:bottom w:val="single" w:color="CCCCCC" w:sz="1"/>
              <w:right w:val="single" w:color="CCCCCC" w:sz="1"/>
            </w:tcBorders>
          </w:tcPr>
          <w:p>
            <w:r>
              <w:t xml:space="preserve">Patient IDs, encounter numbers, prescription IDs</w:t>
            </w:r>
          </w:p>
        </w:tc>
      </w:tr>
    </w:tbl>
    <w:p>
      <w:pPr>
        <w:pStyle w:val="Heading2"/>
        <w:spacing w:before="300"/>
      </w:pPr>
      <w:r>
        <w:t xml:space="preserve">Where Direct PHI Enters AI Systems</w:t>
      </w:r>
    </w:p>
    <w:p>
      <w:pPr>
        <w:spacing w:after="100"/>
      </w:pPr>
      <w:r>
        <w:rPr>
          <w:b/>
          <w:bCs/>
        </w:rPr>
        <w:t xml:space="preserve">Training Data:</w:t>
      </w:r>
    </w:p>
    <w:p>
      <w:pPr>
        <w:spacing w:after="150"/>
      </w:pPr>
      <w:r>
        <w:t xml:space="preserve">When AI models are trained on clinical data, PHI may be embedded in the model weights themselves. This creates a form of data persistence that's difficult to audit and impossible to fully "delete." Model inversion attacks have demonstrated the ability to extract training data from some models.</w:t>
      </w:r>
    </w:p>
    <w:p>
      <w:pPr>
        <w:spacing w:after="100"/>
      </w:pPr>
      <w:r>
        <w:rPr>
          <w:b/>
          <w:bCs/>
        </w:rPr>
        <w:t xml:space="preserve">Inference-Time Inputs:</w:t>
      </w:r>
    </w:p>
    <w:p>
      <w:pPr>
        <w:spacing w:after="150"/>
      </w:pPr>
      <w:r>
        <w:t xml:space="preserve">When clinicians paste patient notes into AI tools, that data is transmitted to external servers. Even if the vendor promises not to use it for training, it may be logged, cached, or retained for abuse monitoring. Most consumer AI tools retain data for 30+ days.</w:t>
      </w:r>
    </w:p>
    <w:p>
      <w:pPr>
        <w:spacing w:after="100"/>
      </w:pPr>
      <w:r>
        <w:rPr>
          <w:b/>
          <w:bCs/>
        </w:rPr>
        <w:t xml:space="preserve">Generated Outputs:</w:t>
      </w:r>
    </w:p>
    <w:p>
      <w:pPr>
        <w:spacing w:after="200"/>
      </w:pPr>
      <w:r>
        <w:t xml:space="preserve">AI-generated clinical notes, summaries, and recommendations become PHI themselves. If an ambient scribe generates a SOAP note, that output requires the same protections as a manually-written note.</w:t>
      </w:r>
    </w:p>
    <w:p>
      <w:pPr>
        <w:pStyle w:val="Heading2"/>
      </w:pPr>
      <w:r>
        <w:t xml:space="preserve">Permissible Uses of PHI with AI</w:t>
      </w:r>
    </w:p>
    <w:p>
      <w:pPr>
        <w:spacing w:after="200"/>
      </w:pPr>
      <w:r>
        <w:t xml:space="preserve">HIPAA permits PHI use for treatment, payment, and healthcare operations (TPO) without explicit patient authorization. Understanding these categories is critical for determining which AI applications are permissible:</w:t>
      </w:r>
    </w:p>
    <w:p>
      <w:pPr>
        <w:spacing w:after="100"/>
      </w:pPr>
      <w:r>
        <w:rPr>
          <w:b/>
          <w:bCs/>
        </w:rPr>
        <w:t xml:space="preserve">Treatment:</w:t>
      </w:r>
    </w:p>
    <w:p>
      <w:pPr>
        <w:spacing w:after="150"/>
      </w:pPr>
      <w:r>
        <w:t xml:space="preserve">Provision, coordination, or management of healthcare. An AI scribe documenting a visit, a clinical decision support tool suggesting diagnoses, or a summarization tool helping a physician prepare for a patient encounter all fall under treatment. The key requirement: the AI must be assisting with care for a specific individual, not population-level analysis.</w:t>
      </w:r>
    </w:p>
    <w:p>
      <w:pPr>
        <w:spacing w:after="100"/>
      </w:pPr>
      <w:r>
        <w:rPr>
          <w:b/>
          <w:bCs/>
        </w:rPr>
        <w:t xml:space="preserve">Payment:</w:t>
      </w:r>
    </w:p>
    <w:p>
      <w:pPr>
        <w:spacing w:after="150"/>
      </w:pPr>
      <w:r>
        <w:t xml:space="preserve">Activities related to billing and reimbursement. AI tools that assist with coding, denial management, or eligibility verification qualify here. Prior authorization automation is a gray area—it touches both treatment and payment.</w:t>
      </w:r>
    </w:p>
    <w:p>
      <w:pPr>
        <w:spacing w:after="100"/>
      </w:pPr>
      <w:r>
        <w:rPr>
          <w:b/>
          <w:bCs/>
        </w:rPr>
        <w:t xml:space="preserve">Healthcare Operations:</w:t>
      </w:r>
    </w:p>
    <w:p>
      <w:pPr>
        <w:spacing w:after="200"/>
      </w:pPr>
      <w:r>
        <w:t xml:space="preserve">Quality assessment, training, business management. Population health analytics, outcome tracking, and care management programs typically fall under operations. This is where most AI training on PHI would be classified—but note that selling de-identified data for AI development generally requires authorization or full de-identification.</w:t>
      </w:r>
    </w:p>
    <w:p>
      <w:pPr>
        <w:pStyle w:val="Callout"/>
        <w:spacing w:after="200"/>
      </w:pPr>
      <w:r>
        <w:rPr>
          <w:b/>
          <w:bCs/>
        </w:rPr>
        <w:t xml:space="preserve">The minimum necessary principle:</w:t>
      </w:r>
      <w:r>
        <w:t xml:space="preserve"> Even for permitted uses, you must limit PHI access to the minimum necessary to accomplish the purpose. AI systems that vacuum up entire medical records when they only need recent vitals are violating this principle—even if the underlying purpose is legitimate.</w:t>
      </w:r>
    </w:p>
    <w:p>
      <w:pPr>
        <w:pStyle w:val="Heading2"/>
      </w:pPr>
      <w:r>
        <w:t xml:space="preserve">The BAA Requirement</w:t>
      </w:r>
    </w:p>
    <w:p>
      <w:pPr>
        <w:spacing w:after="200"/>
      </w:pPr>
      <w:r>
        <w:t xml:space="preserve">Before using any AI tool with PHI, a Business Associate Agreement must be in place. The BAA establishes the vendor as a business associate, binding them to HIPAA requirements including safeguards, use restrictions, and breach notification.</w:t>
      </w:r>
    </w:p>
    <w:p>
      <w:pPr>
        <w:spacing w:after="200"/>
      </w:pPr>
      <w:r>
        <w:t xml:space="preserve">A BAA is a legally binding contract that specifies exactly what the vendor can do with PHI, what safeguards they must implement, how they'll handle breaches, and what happens to the data when the relationship ends. Without it, transmitting PHI to a vendor is an impermissible disclosure—regardless of what the vendor promises verbally or in marketing materials.</w:t>
      </w:r>
    </w:p>
    <w:p>
      <w:pPr>
        <w:spacing w:after="100"/>
      </w:pPr>
      <w:r>
        <w:rPr>
          <w:b/>
          <w:bCs/>
        </w:rPr>
        <w:t xml:space="preserve">Current BAA Availability by Platform:</w:t>
      </w:r>
    </w:p>
    <w:p>
      <w:pPr>
        <w:pStyle w:val="ListParagraph"/>
        <w:numPr>
          <w:ilvl w:val="0"/>
          <w:numId w:val="2"/>
        </w:numPr>
      </w:pPr>
      <w:r>
        <w:rPr>
          <w:b/>
          <w:bCs/>
        </w:rPr>
        <w:t xml:space="preserve">OpenAI API: </w:t>
      </w:r>
      <w:r>
        <w:t xml:space="preserve">BAA available for zero-retention endpoints. Contact baa@openai.com.</w:t>
      </w:r>
    </w:p>
    <w:p>
      <w:pPr>
        <w:pStyle w:val="ListParagraph"/>
        <w:numPr>
          <w:ilvl w:val="0"/>
          <w:numId w:val="2"/>
        </w:numPr>
      </w:pPr>
      <w:r>
        <w:rPr>
          <w:b/>
          <w:bCs/>
        </w:rPr>
        <w:t xml:space="preserve">ChatGPT (consumer): </w:t>
      </w:r>
      <w:r>
        <w:t xml:space="preserve">No BAA available. Cannot be used with PHI.</w:t>
      </w:r>
    </w:p>
    <w:p>
      <w:pPr>
        <w:pStyle w:val="ListParagraph"/>
        <w:numPr>
          <w:ilvl w:val="0"/>
          <w:numId w:val="2"/>
        </w:numPr>
      </w:pPr>
      <w:r>
        <w:rPr>
          <w:b/>
          <w:bCs/>
        </w:rPr>
        <w:t xml:space="preserve">ChatGPT Enterprise/Edu: </w:t>
      </w:r>
      <w:r>
        <w:t xml:space="preserve">BAA available through sales-managed accounts.</w:t>
      </w:r>
    </w:p>
    <w:p>
      <w:pPr>
        <w:pStyle w:val="ListParagraph"/>
        <w:numPr>
          <w:ilvl w:val="0"/>
          <w:numId w:val="2"/>
        </w:numPr>
      </w:pPr>
      <w:r>
        <w:rPr>
          <w:b/>
          <w:bCs/>
        </w:rPr>
        <w:t xml:space="preserve">Azure OpenAI: </w:t>
      </w:r>
      <w:r>
        <w:t xml:space="preserve">BAA included in Microsoft Product Terms by default.</w:t>
      </w:r>
    </w:p>
    <w:p>
      <w:pPr>
        <w:pStyle w:val="ListParagraph"/>
        <w:numPr>
          <w:ilvl w:val="0"/>
          <w:numId w:val="2"/>
        </w:numPr>
      </w:pPr>
      <w:r>
        <w:rPr>
          <w:b/>
          <w:bCs/>
        </w:rPr>
        <w:t xml:space="preserve">Google Med-PaLM/Vertex AI: </w:t>
      </w:r>
      <w:r>
        <w:t xml:space="preserve">BAA available for healthcare customers.</w:t>
      </w:r>
    </w:p>
    <w:p>
      <w:pPr>
        <w:pStyle w:val="ListParagraph"/>
        <w:numPr>
          <w:ilvl w:val="0"/>
          <w:numId w:val="2"/>
        </w:numPr>
      </w:pPr>
      <w:r>
        <w:rPr>
          <w:b/>
          <w:bCs/>
        </w:rPr>
        <w:t xml:space="preserve">AWS HealthScribe: </w:t>
      </w:r>
      <w:r>
        <w:t xml:space="preserve">HIPAA-eligible service with BAA coverage.</w:t>
      </w:r>
    </w:p>
    <w:p>
      <w:pPr>
        <w:pStyle w:val="ListParagraph"/>
        <w:numPr>
          <w:ilvl w:val="0"/>
          <w:numId w:val="2"/>
        </w:numPr>
        <w:spacing w:after="200"/>
      </w:pPr>
      <w:r>
        <w:rPr>
          <w:b/>
          <w:bCs/>
        </w:rPr>
        <w:t xml:space="preserve">Purpose-built scribes (Freed, Suki, etc.): </w:t>
      </w:r>
      <w:r>
        <w:t xml:space="preserve">Generally offer BAAs; verify before deployment.</w:t>
      </w:r>
    </w:p>
    <w:p>
      <w:pPr>
        <w:pStyle w:val="Callout"/>
        <w:spacing w:after="200"/>
      </w:pPr>
      <w:r>
        <w:rPr>
          <w:b/>
          <w:bCs/>
        </w:rPr>
        <w:t xml:space="preserve">Critical point:</w:t>
      </w:r>
      <w:r>
        <w:t xml:space="preserve"> A vendor claiming to be "HIPAA compliant" means nothing without a signed BAA. The FTC has taken enforcement actions against companies making false HIPAA compliance claims (GoodRx, BetterHelp). Always verify with documentation.</w:t>
      </w:r>
    </w:p>
    <w:p>
      <w:pPr>
        <w:pStyle w:val="Heading2"/>
      </w:pPr>
      <w:r>
        <w:t xml:space="preserve">AI Medical Scribes: A Case Study in Compliant AI Deployment</w:t>
      </w:r>
    </w:p>
    <w:p>
      <w:pPr>
        <w:spacing w:after="200"/>
      </w:pPr>
      <w:r>
        <w:t xml:space="preserve">Ambient AI scribes represent one of the fastest-growing AI applications in healthcare—and a useful case study for understanding compliant deployment. These tools capture patient-provider conversations in real time, transcribe them, and generate structured clinical documentation.</w:t>
      </w:r>
    </w:p>
    <w:p>
      <w:pPr>
        <w:spacing w:after="200"/>
      </w:pPr>
      <w:r>
        <w:t xml:space="preserve">Studies suggest that real-time AI medical scribes now generate over 30% of outpatient notes in some health systems, saving clinicians an average of 2 hours per day on documentation. The productivity benefits are real—but so are the compliance requirements.</w:t>
      </w:r>
    </w:p>
    <w:p>
      <w:pPr>
        <w:spacing w:after="100"/>
      </w:pPr>
      <w:r>
        <w:rPr>
          <w:b/>
          <w:bCs/>
        </w:rPr>
        <w:t xml:space="preserve">Key Compliance Considerations for AI Scribes:</w:t>
      </w:r>
    </w:p>
    <w:p>
      <w:pPr>
        <w:pStyle w:val="ListParagraph"/>
        <w:numPr>
          <w:ilvl w:val="0"/>
          <w:numId w:val="3"/>
        </w:numPr>
      </w:pPr>
      <w:r>
        <w:rPr>
          <w:b/>
          <w:bCs/>
        </w:rPr>
        <w:t xml:space="preserve">Patient notification: </w:t>
      </w:r>
      <w:r>
        <w:t xml:space="preserve">Patients should be informed that AI is being used to document the encounter. While HIPAA doesn't explicitly require this, transparency builds trust and may be required under state laws or institutional policies.</w:t>
      </w:r>
    </w:p>
    <w:p>
      <w:pPr>
        <w:pStyle w:val="ListParagraph"/>
        <w:numPr>
          <w:ilvl w:val="0"/>
          <w:numId w:val="3"/>
        </w:numPr>
      </w:pPr>
      <w:r>
        <w:rPr>
          <w:b/>
          <w:bCs/>
        </w:rPr>
        <w:t xml:space="preserve">Audio handling: </w:t>
      </w:r>
      <w:r>
        <w:t xml:space="preserve">How is the audio processed? Is it streamed to external servers or processed locally? Is it retained after transcription? Best practice: audio should be deleted immediately after transcription, with no permanent recordings stored.</w:t>
      </w:r>
    </w:p>
    <w:p>
      <w:pPr>
        <w:pStyle w:val="ListParagraph"/>
        <w:numPr>
          <w:ilvl w:val="0"/>
          <w:numId w:val="3"/>
        </w:numPr>
      </w:pPr>
      <w:r>
        <w:rPr>
          <w:b/>
          <w:bCs/>
        </w:rPr>
        <w:t xml:space="preserve">Human review: </w:t>
      </w:r>
      <w:r>
        <w:t xml:space="preserve">AI-generated notes should be reviewed and approved by the clinician before becoming part of the medical record. This maintains clinical responsibility and catches AI errors.</w:t>
      </w:r>
    </w:p>
    <w:p>
      <w:pPr>
        <w:pStyle w:val="ListParagraph"/>
        <w:numPr>
          <w:ilvl w:val="0"/>
          <w:numId w:val="3"/>
        </w:numPr>
      </w:pPr>
      <w:r>
        <w:rPr>
          <w:b/>
          <w:bCs/>
        </w:rPr>
        <w:t xml:space="preserve">Accuracy validation: </w:t>
      </w:r>
      <w:r>
        <w:t xml:space="preserve">Has the scribe been validated for your specialty and patient population? Medical terminology accuracy of 98%+ is table stakes; specialty-specific accuracy matters more.</w:t>
      </w:r>
    </w:p>
    <w:p>
      <w:pPr>
        <w:pStyle w:val="ListParagraph"/>
        <w:numPr>
          <w:ilvl w:val="0"/>
          <w:numId w:val="3"/>
        </w:numPr>
        <w:spacing w:after="200"/>
      </w:pPr>
      <w:r>
        <w:rPr>
          <w:b/>
          <w:bCs/>
        </w:rPr>
        <w:t xml:space="preserve">EHR integration: </w:t>
      </w:r>
      <w:r>
        <w:t xml:space="preserve">How does the scribe integrate with your EHR? Direct integration through approved APIs is preferable to copy-paste workflows that create data handling risks.</w:t>
      </w:r>
    </w:p>
    <w:p>
      <w:pPr>
        <w:spacing w:after="200"/>
      </w:pPr>
      <w:r>
        <w:t xml:space="preserve">Leading ambient scribe platforms (AWS HealthScribe, Suki, Freed, Nuance DAX, and others) typically offer HIPAA-compliant configurations with BAAs, SOC 2 Type II certification, encryption, and zero retention of audio. The compliant path exists—but requires verification before deployment.</w:t>
      </w:r>
    </w:p>
    <w:p>
      <w:r>
        <w:br w:type="page"/>
      </w:r>
    </w:p>
    <w:p>
      <w:pPr>
        <w:pStyle w:val="Heading1"/>
      </w:pPr>
      <w:r>
        <w:t xml:space="preserve">Part 4: Indirect PHI and Re-identification Risk</w:t>
      </w:r>
    </w:p>
    <w:p>
      <w:pPr>
        <w:spacing w:after="200"/>
      </w:pPr>
      <w:r>
        <w:t xml:space="preserve">This is where the regulatory framework shows its age. HIPAA's Safe Harbor method was designed before modern machine learning, before data brokers, before the explosion of auxiliary datasets that make re-identification increasingly feasible.</w:t>
      </w:r>
    </w:p>
    <w:p>
      <w:pPr>
        <w:pStyle w:val="Heading2"/>
      </w:pPr>
      <w:r>
        <w:t xml:space="preserve">The Mosaic Effect</w:t>
      </w:r>
    </w:p>
    <w:p>
      <w:pPr>
        <w:spacing w:after="200"/>
      </w:pPr>
      <w:r>
        <w:t xml:space="preserve">The mosaic effect describes how individually benign data points become identifying when combined. In 1997, researcher Latanya Sweeney demonstrated that 87% of Americans could be uniquely identified using just three data points: ZIP code, birth date, and gender. She famously re-identified Massachusetts Governor William Weld's medical records from "anonymized" hospital data by linking it to publicly available voter rolls.</w:t>
      </w:r>
    </w:p>
    <w:p>
      <w:pPr>
        <w:spacing w:after="200"/>
      </w:pPr>
      <w:r>
        <w:t xml:space="preserve">For AI systems, this creates a fundamental tension. Machine learning thrives on rich, detailed data. De-identification that's sufficient to prevent re-identification often strips the clinical utility that makes the data valuable for training or analysis.</w:t>
      </w:r>
    </w:p>
    <w:p>
      <w:pPr>
        <w:pStyle w:val="Heading2"/>
      </w:pPr>
      <w:r>
        <w:t xml:space="preserve">Quasi-Identifiers in Healthcare Data</w:t>
      </w:r>
    </w:p>
    <w:p>
      <w:pPr>
        <w:spacing w:after="200"/>
      </w:pPr>
      <w:r>
        <w:t xml:space="preserve">Even after removing the 18 Safe Harbor identifiers, healthcare data contains numerous quasi-identifiers that can enable re-identification when combined with external data sources:</w:t>
      </w:r>
    </w:p>
    <w:p>
      <w:pPr>
        <w:pStyle w:val="ListParagraph"/>
        <w:numPr>
          <w:ilvl w:val="0"/>
          <w:numId w:val="2"/>
        </w:numPr>
      </w:pPr>
      <w:r>
        <w:rPr>
          <w:b/>
          <w:bCs/>
        </w:rPr>
        <w:t xml:space="preserve">Rare diagnoses: </w:t>
      </w:r>
      <w:r>
        <w:t xml:space="preserve">A unique combination of conditions may identify a patient within a population</w:t>
      </w:r>
    </w:p>
    <w:p>
      <w:pPr>
        <w:pStyle w:val="ListParagraph"/>
        <w:numPr>
          <w:ilvl w:val="0"/>
          <w:numId w:val="2"/>
        </w:numPr>
      </w:pPr>
      <w:r>
        <w:rPr>
          <w:b/>
          <w:bCs/>
        </w:rPr>
        <w:t xml:space="preserve">Treatment patterns: </w:t>
      </w:r>
      <w:r>
        <w:t xml:space="preserve">Specific medication sequences or surgical combinations</w:t>
      </w:r>
    </w:p>
    <w:p>
      <w:pPr>
        <w:pStyle w:val="ListParagraph"/>
        <w:numPr>
          <w:ilvl w:val="0"/>
          <w:numId w:val="2"/>
        </w:numPr>
      </w:pPr>
      <w:r>
        <w:rPr>
          <w:b/>
          <w:bCs/>
        </w:rPr>
        <w:t xml:space="preserve">Temporal patterns: </w:t>
      </w:r>
      <w:r>
        <w:t xml:space="preserve">Visit frequency, hospitalization duration, time between events</w:t>
      </w:r>
    </w:p>
    <w:p>
      <w:pPr>
        <w:pStyle w:val="ListParagraph"/>
        <w:numPr>
          <w:ilvl w:val="0"/>
          <w:numId w:val="2"/>
        </w:numPr>
      </w:pPr>
      <w:r>
        <w:rPr>
          <w:b/>
          <w:bCs/>
        </w:rPr>
        <w:t xml:space="preserve">Provider relationships: </w:t>
      </w:r>
      <w:r>
        <w:t xml:space="preserve">Combination of specialists seen</w:t>
      </w:r>
    </w:p>
    <w:p>
      <w:pPr>
        <w:pStyle w:val="ListParagraph"/>
        <w:numPr>
          <w:ilvl w:val="0"/>
          <w:numId w:val="2"/>
        </w:numPr>
      </w:pPr>
      <w:r>
        <w:rPr>
          <w:b/>
          <w:bCs/>
        </w:rPr>
        <w:t xml:space="preserve">Demographic combinations: </w:t>
      </w:r>
      <w:r>
        <w:t xml:space="preserve">Age range + gender + ethnicity + approximate location</w:t>
      </w:r>
    </w:p>
    <w:p>
      <w:pPr>
        <w:pStyle w:val="ListParagraph"/>
        <w:numPr>
          <w:ilvl w:val="0"/>
          <w:numId w:val="2"/>
        </w:numPr>
        <w:spacing w:after="200"/>
      </w:pPr>
      <w:r>
        <w:rPr>
          <w:b/>
          <w:bCs/>
        </w:rPr>
        <w:t xml:space="preserve">Free-text narratives: </w:t>
      </w:r>
      <w:r>
        <w:t xml:space="preserve">Clinical notes often contain identifying details even after NER-based scrubbing</w:t>
      </w:r>
    </w:p>
    <w:p>
      <w:pPr>
        <w:pStyle w:val="Heading2"/>
      </w:pPr>
      <w:r>
        <w:t xml:space="preserve">AI-Specific Re-identification Risks</w:t>
      </w:r>
    </w:p>
    <w:p>
      <w:pPr>
        <w:spacing w:after="100"/>
      </w:pPr>
      <w:r>
        <w:rPr>
          <w:b/>
          <w:bCs/>
        </w:rPr>
        <w:t xml:space="preserve">Image Reconstruction:</w:t>
      </w:r>
    </w:p>
    <w:p>
      <w:pPr>
        <w:spacing w:after="150"/>
      </w:pPr>
      <w:r>
        <w:t xml:space="preserve">CT and MRI scans contain sufficient geometric information to reconstruct facial features. A "de-identified" head CT can potentially be matched to a photograph using 3D reconstruction techniques. AI dramatically improves the feasibility of such attacks.</w:t>
      </w:r>
    </w:p>
    <w:p>
      <w:pPr>
        <w:spacing w:after="100"/>
      </w:pPr>
      <w:r>
        <w:rPr>
          <w:b/>
          <w:bCs/>
        </w:rPr>
        <w:t xml:space="preserve">Voice Prints:</w:t>
      </w:r>
    </w:p>
    <w:p>
      <w:pPr>
        <w:spacing w:after="150"/>
      </w:pPr>
      <w:r>
        <w:t xml:space="preserve">Voice recordings—including those captured by ambient scribes—are explicitly listed as biometric identifiers under HIPAA. Speaker identification models can match voices across recordings, potentially linking "anonymized" research data to identified individuals.</w:t>
      </w:r>
    </w:p>
    <w:p>
      <w:pPr>
        <w:spacing w:after="100"/>
      </w:pPr>
      <w:r>
        <w:rPr>
          <w:b/>
          <w:bCs/>
        </w:rPr>
        <w:t xml:space="preserve">Training Data Extraction:</w:t>
      </w:r>
    </w:p>
    <w:p>
      <w:pPr>
        <w:spacing w:after="150"/>
      </w:pPr>
      <w:r>
        <w:t xml:space="preserve">Model inversion and membership inference attacks can potentially extract or verify the presence of specific records in training data. This transforms the model itself into a form of data storage that may be subject to HIPAA requirements.</w:t>
      </w:r>
    </w:p>
    <w:p>
      <w:pPr>
        <w:spacing w:after="100"/>
      </w:pPr>
      <w:r>
        <w:rPr>
          <w:b/>
          <w:bCs/>
        </w:rPr>
        <w:t xml:space="preserve">Cross-Dataset Linkage:</w:t>
      </w:r>
    </w:p>
    <w:p>
      <w:pPr>
        <w:spacing w:after="200"/>
      </w:pPr>
      <w:r>
        <w:t xml:space="preserve">AI excels at finding patterns across large datasets. An adversary with access to both "de-identified" healthcare data and auxiliary datasets (consumer data, social media, public records) can leverage ML to identify matches that would be impossible manually.</w:t>
      </w:r>
    </w:p>
    <w:p>
      <w:pPr>
        <w:pStyle w:val="Heading2"/>
      </w:pPr>
      <w:r>
        <w:t xml:space="preserve">De-identification Methods</w:t>
      </w:r>
    </w:p>
    <w:p>
      <w:pPr>
        <w:spacing w:after="100"/>
      </w:pPr>
      <w:r>
        <w:rPr>
          <w:b/>
          <w:bCs/>
        </w:rPr>
        <w:t xml:space="preserve">Safe Harbor Method:</w:t>
      </w:r>
    </w:p>
    <w:p>
      <w:pPr>
        <w:spacing w:after="150"/>
      </w:pPr>
      <w:r>
        <w:t xml:space="preserve">Remove all 18 identifier categories and have no actual knowledge that remaining information could identify an individual. Simple to implement but rigid—may remove clinically useful data while leaving quasi-identifiers intact.</w:t>
      </w:r>
    </w:p>
    <w:p>
      <w:pPr>
        <w:spacing w:after="100"/>
      </w:pPr>
      <w:r>
        <w:rPr>
          <w:b/>
          <w:bCs/>
        </w:rPr>
        <w:t xml:space="preserve">Expert Determination Method:</w:t>
      </w:r>
    </w:p>
    <w:p>
      <w:pPr>
        <w:spacing w:after="150"/>
      </w:pPr>
      <w:r>
        <w:t xml:space="preserve">A qualified expert applies statistical/scientific methods to certify that re-identification risk is "very small." More flexible and can preserve more data utility, but requires expertise, documentation, and periodic reassessment as external data availability changes.</w:t>
      </w:r>
    </w:p>
    <w:p>
      <w:pPr>
        <w:spacing w:after="100"/>
      </w:pPr>
      <w:r>
        <w:rPr>
          <w:b/>
          <w:bCs/>
        </w:rPr>
        <w:t xml:space="preserve">Privacy-Enhancing Technologies:</w:t>
      </w:r>
    </w:p>
    <w:p>
      <w:pPr>
        <w:pStyle w:val="ListParagraph"/>
        <w:numPr>
          <w:ilvl w:val="0"/>
          <w:numId w:val="2"/>
        </w:numPr>
      </w:pPr>
      <w:r>
        <w:rPr>
          <w:b/>
          <w:bCs/>
        </w:rPr>
        <w:t xml:space="preserve">Differential privacy: </w:t>
      </w:r>
      <w:r>
        <w:t xml:space="preserve">Adds calibrated noise to prevent individual identification while preserving statistical properties</w:t>
      </w:r>
    </w:p>
    <w:p>
      <w:pPr>
        <w:pStyle w:val="ListParagraph"/>
        <w:numPr>
          <w:ilvl w:val="0"/>
          <w:numId w:val="2"/>
        </w:numPr>
      </w:pPr>
      <w:r>
        <w:rPr>
          <w:b/>
          <w:bCs/>
        </w:rPr>
        <w:t xml:space="preserve">Federated learning: </w:t>
      </w:r>
      <w:r>
        <w:t xml:space="preserve">Train models locally without centralizing raw data</w:t>
      </w:r>
    </w:p>
    <w:p>
      <w:pPr>
        <w:pStyle w:val="ListParagraph"/>
        <w:numPr>
          <w:ilvl w:val="0"/>
          <w:numId w:val="2"/>
        </w:numPr>
      </w:pPr>
      <w:r>
        <w:rPr>
          <w:b/>
          <w:bCs/>
        </w:rPr>
        <w:t xml:space="preserve">Synthetic data: </w:t>
      </w:r>
      <w:r>
        <w:t xml:space="preserve">Generate statistically similar data with no actual patient records</w:t>
      </w:r>
    </w:p>
    <w:p>
      <w:pPr>
        <w:pStyle w:val="ListParagraph"/>
        <w:numPr>
          <w:ilvl w:val="0"/>
          <w:numId w:val="2"/>
        </w:numPr>
        <w:spacing w:after="200"/>
      </w:pPr>
      <w:r>
        <w:rPr>
          <w:b/>
          <w:bCs/>
        </w:rPr>
        <w:t xml:space="preserve">K-anonymity/L-diversity: </w:t>
      </w:r>
      <w:r>
        <w:t xml:space="preserve">Ensure individuals cannot be distinguished within groups</w:t>
      </w:r>
    </w:p>
    <w:p>
      <w:pPr>
        <w:pStyle w:val="Callout"/>
        <w:spacing w:after="200"/>
      </w:pPr>
      <w:r>
        <w:rPr>
          <w:b/>
          <w:bCs/>
        </w:rPr>
        <w:t xml:space="preserve">Key insight:</w:t>
      </w:r>
      <w:r>
        <w:t xml:space="preserve"> HHS acknowledges that neither de-identification method eliminates all re-identification risk. The Safe Harbor list is 25 years old and doesn't account for modern data environments. Expert determination is only as good as the expert's assessment of current re-identification capabilities—and those capabilities are evolving rapidly with AI advances.</w:t>
      </w:r>
    </w:p>
    <w:p>
      <w:pPr>
        <w:pStyle w:val="Heading2"/>
      </w:pPr>
      <w:r>
        <w:t xml:space="preserve">The Safe Harbor List Is Outdated</w:t>
      </w:r>
    </w:p>
    <w:p>
      <w:pPr>
        <w:spacing w:after="200"/>
      </w:pPr>
      <w:r>
        <w:t xml:space="preserve">The 18 Safe Harbor identifiers were defined in 1996 and haven't been updated since. They don't account for:</w:t>
      </w:r>
    </w:p>
    <w:p>
      <w:pPr>
        <w:pStyle w:val="ListParagraph"/>
        <w:numPr>
          <w:ilvl w:val="0"/>
          <w:numId w:val="2"/>
        </w:numPr>
      </w:pPr>
      <w:r>
        <w:rPr>
          <w:b/>
          <w:bCs/>
        </w:rPr>
        <w:t xml:space="preserve">Social media: </w:t>
      </w:r>
      <w:r>
        <w:t xml:space="preserve">Platforms that didn't exist and now contain vast amounts of personally identifying information</w:t>
      </w:r>
    </w:p>
    <w:p>
      <w:pPr>
        <w:pStyle w:val="ListParagraph"/>
        <w:numPr>
          <w:ilvl w:val="0"/>
          <w:numId w:val="2"/>
        </w:numPr>
      </w:pPr>
      <w:r>
        <w:rPr>
          <w:b/>
          <w:bCs/>
        </w:rPr>
        <w:t xml:space="preserve">Commercial data brokers: </w:t>
      </w:r>
      <w:r>
        <w:t xml:space="preserve">Companies that aggregate consumer data from thousands of sources</w:t>
      </w:r>
    </w:p>
    <w:p>
      <w:pPr>
        <w:pStyle w:val="ListParagraph"/>
        <w:numPr>
          <w:ilvl w:val="0"/>
          <w:numId w:val="2"/>
        </w:numPr>
      </w:pPr>
      <w:r>
        <w:rPr>
          <w:b/>
          <w:bCs/>
        </w:rPr>
        <w:t xml:space="preserve">Genetic data: </w:t>
      </w:r>
      <w:r>
        <w:t xml:space="preserve">DNA sequences that are uniquely identifying and increasingly available through consumer testing</w:t>
      </w:r>
    </w:p>
    <w:p>
      <w:pPr>
        <w:pStyle w:val="ListParagraph"/>
        <w:numPr>
          <w:ilvl w:val="0"/>
          <w:numId w:val="2"/>
        </w:numPr>
      </w:pPr>
      <w:r>
        <w:rPr>
          <w:b/>
          <w:bCs/>
        </w:rPr>
        <w:t xml:space="preserve">Location history: </w:t>
      </w:r>
      <w:r>
        <w:t xml:space="preserve">Smartphone data that can uniquely identify individuals through movement patterns</w:t>
      </w:r>
    </w:p>
    <w:p>
      <w:pPr>
        <w:pStyle w:val="ListParagraph"/>
        <w:numPr>
          <w:ilvl w:val="0"/>
          <w:numId w:val="2"/>
        </w:numPr>
      </w:pPr>
      <w:r>
        <w:rPr>
          <w:b/>
          <w:bCs/>
        </w:rPr>
        <w:t xml:space="preserve">Wearable data: </w:t>
      </w:r>
      <w:r>
        <w:t xml:space="preserve">Health metrics from fitness trackers that create unique biometric signatures</w:t>
      </w:r>
    </w:p>
    <w:p>
      <w:pPr>
        <w:pStyle w:val="ListParagraph"/>
        <w:numPr>
          <w:ilvl w:val="0"/>
          <w:numId w:val="2"/>
        </w:numPr>
        <w:spacing w:after="200"/>
      </w:pPr>
      <w:r>
        <w:rPr>
          <w:b/>
          <w:bCs/>
        </w:rPr>
        <w:t xml:space="preserve">AI capabilities: </w:t>
      </w:r>
      <w:r>
        <w:t xml:space="preserve">Machine learning tools that can find patterns across datasets at scale impossible in 1996</w:t>
      </w:r>
    </w:p>
    <w:p>
      <w:pPr>
        <w:spacing w:after="200"/>
      </w:pPr>
      <w:r>
        <w:t xml:space="preserve">Organizations relying solely on Safe Harbor should consider supplementing with expert determination or privacy-enhancing technologies, particularly when data will be used with AI systems that may increase re-identification risk.</w:t>
      </w:r>
    </w:p>
    <w:p>
      <w:pPr>
        <w:pStyle w:val="Heading2"/>
      </w:pPr>
      <w:r>
        <w:t xml:space="preserve">Practical Implications for AI Development</w:t>
      </w:r>
    </w:p>
    <w:p>
      <w:pPr>
        <w:spacing w:after="200"/>
      </w:pPr>
      <w:r>
        <w:t xml:space="preserve">When using healthcare data for AI training or analysis, organizations face a fundamental tradeoff: data utility versus privacy protection. More aggressive de-identification reduces re-identification risk but may also reduce the clinical value of the data for training effective models.</w:t>
      </w:r>
    </w:p>
    <w:p>
      <w:pPr>
        <w:spacing w:after="200"/>
      </w:pPr>
      <w:r>
        <w:t xml:space="preserve">Strategies for managing this tradeoff include:</w:t>
      </w:r>
    </w:p>
    <w:p>
      <w:pPr>
        <w:pStyle w:val="ListParagraph"/>
        <w:numPr>
          <w:ilvl w:val="0"/>
          <w:numId w:val="2"/>
        </w:numPr>
      </w:pPr>
      <w:r>
        <w:rPr>
          <w:b/>
          <w:bCs/>
        </w:rPr>
        <w:t xml:space="preserve">Data minimization: </w:t>
      </w:r>
      <w:r>
        <w:t xml:space="preserve">Only include data elements actually needed for the AI task. If you're training a model to predict readmission risk, do you really need detailed procedure notes?</w:t>
      </w:r>
    </w:p>
    <w:p>
      <w:pPr>
        <w:pStyle w:val="ListParagraph"/>
        <w:numPr>
          <w:ilvl w:val="0"/>
          <w:numId w:val="2"/>
        </w:numPr>
      </w:pPr>
      <w:r>
        <w:rPr>
          <w:b/>
          <w:bCs/>
        </w:rPr>
        <w:t xml:space="preserve">Temporal generalization: </w:t>
      </w:r>
      <w:r>
        <w:t xml:space="preserve">Shift dates by random offsets or convert to relative times (day of admission +1, +2, etc.)</w:t>
      </w:r>
    </w:p>
    <w:p>
      <w:pPr>
        <w:pStyle w:val="ListParagraph"/>
        <w:numPr>
          <w:ilvl w:val="0"/>
          <w:numId w:val="2"/>
        </w:numPr>
      </w:pPr>
      <w:r>
        <w:rPr>
          <w:b/>
          <w:bCs/>
        </w:rPr>
        <w:t xml:space="preserve">Geographic coarsening: </w:t>
      </w:r>
      <w:r>
        <w:t xml:space="preserve">Use regions rather than specific locations; aggregate to state or census region level</w:t>
      </w:r>
    </w:p>
    <w:p>
      <w:pPr>
        <w:pStyle w:val="ListParagraph"/>
        <w:numPr>
          <w:ilvl w:val="0"/>
          <w:numId w:val="2"/>
        </w:numPr>
      </w:pPr>
      <w:r>
        <w:rPr>
          <w:b/>
          <w:bCs/>
        </w:rPr>
        <w:t xml:space="preserve">Rare condition suppression: </w:t>
      </w:r>
      <w:r>
        <w:t xml:space="preserve">Remove or generalize diagnoses with very low prevalence that could identify individuals</w:t>
      </w:r>
    </w:p>
    <w:p>
      <w:pPr>
        <w:pStyle w:val="ListParagraph"/>
        <w:numPr>
          <w:ilvl w:val="0"/>
          <w:numId w:val="2"/>
        </w:numPr>
        <w:spacing w:after="200"/>
      </w:pPr>
      <w:r>
        <w:rPr>
          <w:b/>
          <w:bCs/>
        </w:rPr>
        <w:t xml:space="preserve">Access controls: </w:t>
      </w:r>
      <w:r>
        <w:t xml:space="preserve">Limit who can query the data and how, reducing the "anticipated recipient" risk in expert determination</w:t>
      </w:r>
    </w:p>
    <w:p>
      <w:r>
        <w:br w:type="page"/>
      </w:r>
    </w:p>
    <w:p>
      <w:pPr>
        <w:pStyle w:val="Heading1"/>
      </w:pPr>
      <w:r>
        <w:t xml:space="preserve">Part 5: Shadow AI and Stealth PHI Exposure</w:t>
      </w:r>
    </w:p>
    <w:p>
      <w:pPr>
        <w:spacing w:after="200"/>
      </w:pPr>
      <w:r>
        <w:t xml:space="preserve">Shadow AI is the healthcare equivalent of shadow IT: employees using AI tools without organizational approval, oversight, or integration into compliance frameworks. It's the fastest-growing and least-controlled category of PHI exposure.</w:t>
      </w:r>
    </w:p>
    <w:p>
      <w:pPr>
        <w:pStyle w:val="Heading2"/>
      </w:pPr>
      <w:r>
        <w:t xml:space="preserve">The Scale of the Problem</w:t>
      </w:r>
    </w:p>
    <w:p>
      <w:pPr>
        <w:spacing w:after="200"/>
      </w:pPr>
      <w:r>
        <w:t xml:space="preserve">Research indicates that nearly 95% of healthcare organizations believe their staff are already using generative AI in email or content workflows. 62% of leaders have directly observed employees using unsanctioned tools. Yet a quarter of organizations have not formally approved any AI use—meaning staff are acting without oversight, outside compliance frameworks, and without BAAs in place.</w:t>
      </w:r>
    </w:p>
    <w:p>
      <w:pPr>
        <w:spacing w:after="200"/>
      </w:pPr>
      <w:r>
        <w:t xml:space="preserve">Shadow AI incidents account for 20% of AI-related security breaches—7 percentage points higher than incidents involving sanctioned AI. The tools employees choose for convenience often lack the security, logging, and compliance features that enterprise solutions provide.</w:t>
      </w:r>
    </w:p>
    <w:p>
      <w:pPr>
        <w:pStyle w:val="Heading2"/>
      </w:pPr>
      <w:r>
        <w:t xml:space="preserve">The Ontario Hospital Breach: Anatomy of a Shadow AI Incident</w:t>
      </w:r>
    </w:p>
    <w:p>
      <w:pPr>
        <w:spacing w:after="200"/>
      </w:pPr>
      <w:r>
        <w:t xml:space="preserve">Let's return to the Otter.ai incident from the introduction, because it illustrates almost every shadow AI failure mode in one case:</w:t>
      </w:r>
    </w:p>
    <w:p>
      <w:pPr>
        <w:spacing w:after="100"/>
      </w:pPr>
      <w:r>
        <w:rPr>
          <w:b/>
          <w:bCs/>
        </w:rPr>
        <w:t xml:space="preserve">Failure 1: Personal device, work data</w:t>
      </w:r>
    </w:p>
    <w:p>
      <w:pPr>
        <w:spacing w:after="150"/>
      </w:pPr>
      <w:r>
        <w:t xml:space="preserve">The physician installed Otter on a personal device, using a personal email that was still on the meeting invite list. Hospital policy prohibited this, but the policy wasn't enforced—and may not have been clearly communicated.</w:t>
      </w:r>
    </w:p>
    <w:p>
      <w:pPr>
        <w:spacing w:after="100"/>
      </w:pPr>
      <w:r>
        <w:rPr>
          <w:b/>
          <w:bCs/>
        </w:rPr>
        <w:t xml:space="preserve">Failure 2: No offboarding process</w:t>
      </w:r>
    </w:p>
    <w:p>
      <w:pPr>
        <w:spacing w:after="150"/>
      </w:pPr>
      <w:r>
        <w:t xml:space="preserve">The physician left the hospital in June 2023 but remained on meeting invites until the breach in September 2024—over 15 months. No one removed his access or verified that former staff were removed from distribution lists.</w:t>
      </w:r>
    </w:p>
    <w:p>
      <w:pPr>
        <w:spacing w:after="100"/>
      </w:pPr>
      <w:r>
        <w:rPr>
          <w:b/>
          <w:bCs/>
        </w:rPr>
        <w:t xml:space="preserve">Failure 3: Autonomous AI action</w:t>
      </w:r>
    </w:p>
    <w:p>
      <w:pPr>
        <w:spacing w:after="150"/>
      </w:pPr>
      <w:r>
        <w:t xml:space="preserve">Otter's "notetaker bot" joined the meeting automatically based on the calendar invite. The physician may not have even known it would do this. The tool acted on its own, without anyone clicking anything.</w:t>
      </w:r>
    </w:p>
    <w:p>
      <w:pPr>
        <w:spacing w:after="100"/>
      </w:pPr>
      <w:r>
        <w:rPr>
          <w:b/>
          <w:bCs/>
        </w:rPr>
        <w:t xml:space="preserve">Failure 4: No visibility</w:t>
      </w:r>
    </w:p>
    <w:p>
      <w:pPr>
        <w:spacing w:after="150"/>
      </w:pPr>
      <w:r>
        <w:t xml:space="preserve">The other meeting participants didn't notice the bot. It wasn't until the emails went out that anyone realized the meeting had been recorded. By then, PHI had been transmitted to Otter's servers and distributed to 65 inboxes.</w:t>
      </w:r>
    </w:p>
    <w:p>
      <w:pPr>
        <w:spacing w:after="100"/>
      </w:pPr>
      <w:r>
        <w:rPr>
          <w:b/>
          <w:bCs/>
        </w:rPr>
        <w:t xml:space="preserve">Failure 5: Incomplete remediation</w:t>
      </w:r>
    </w:p>
    <w:p>
      <w:pPr>
        <w:spacing w:after="200"/>
      </w:pPr>
      <w:r>
        <w:t xml:space="preserve">The hospital asked recipients to delete the email. Of the 65 recipients, 53 confirmed deletion. The other 12—including former employees—couldn't confirm. And the data remained on Otter's servers, where the company's privacy policy allows it to be used for model training.</w:t>
      </w:r>
    </w:p>
    <w:p>
      <w:pPr>
        <w:spacing w:after="200"/>
      </w:pPr>
      <w:r>
        <w:t xml:space="preserve">The Privacy Commissioner of Ontario made several recommendations: the hospital should formally request deletion from Otter (not rely on the physician to do it), update AI policies, block transcription tools at the firewall level, and improve offboarding procedures. The potential fines under Canadian privacy law: up to $200,000 for individuals and $1,000,000 for organizations.</w:t>
      </w:r>
    </w:p>
    <w:p>
      <w:pPr>
        <w:pStyle w:val="Heading2"/>
      </w:pPr>
      <w:r>
        <w:t xml:space="preserve">Common Shadow AI Scenarios in Healthcare</w:t>
      </w:r>
    </w:p>
    <w:p>
      <w:pPr>
        <w:spacing w:after="100"/>
      </w:pPr>
      <w:r>
        <w:rPr>
          <w:b/>
          <w:bCs/>
        </w:rPr>
        <w:t xml:space="preserve">Clinical Documentation:</w:t>
      </w:r>
    </w:p>
    <w:p>
      <w:pPr>
        <w:spacing w:after="150"/>
      </w:pPr>
      <w:r>
        <w:t xml:space="preserve">A physician pastes patient notes into ChatGPT to generate a summary or draft a letter. The physician may believe this is benign—the AI produces a better output faster—but they've just transmitted PHI to a platform without a BAA, potentially violating HIPAA.</w:t>
      </w:r>
    </w:p>
    <w:p>
      <w:pPr>
        <w:spacing w:after="100"/>
      </w:pPr>
      <w:r>
        <w:rPr>
          <w:b/>
          <w:bCs/>
        </w:rPr>
        <w:t xml:space="preserve">Administrative Tasks:</w:t>
      </w:r>
    </w:p>
    <w:p>
      <w:pPr>
        <w:spacing w:after="150"/>
      </w:pPr>
      <w:r>
        <w:t xml:space="preserve">A clinic manager uploads patient scheduling data to an AI tool for analysis. A billing specialist uses AI to help with denial appeals. A nurse uses a transcription app to document phone calls. Each creates an untracked data flow to unvetted platforms.</w:t>
      </w:r>
    </w:p>
    <w:p>
      <w:pPr>
        <w:spacing w:after="100"/>
      </w:pPr>
      <w:r>
        <w:rPr>
          <w:b/>
          <w:bCs/>
        </w:rPr>
        <w:t xml:space="preserve">Research and Quality Improvement:</w:t>
      </w:r>
    </w:p>
    <w:p>
      <w:pPr>
        <w:spacing w:after="150"/>
      </w:pPr>
      <w:r>
        <w:t xml:space="preserve">A researcher uses a free AI tool to help analyze de-identified data—but the de-identification wasn't complete, or the tool logs inputs that could be linked to other data. A quality officer uploads outcome data that includes quasi-identifiers.</w:t>
      </w:r>
    </w:p>
    <w:p>
      <w:pPr>
        <w:spacing w:after="100"/>
      </w:pPr>
      <w:r>
        <w:rPr>
          <w:b/>
          <w:bCs/>
        </w:rPr>
        <w:t xml:space="preserve">Personal Devices:</w:t>
      </w:r>
    </w:p>
    <w:p>
      <w:pPr>
        <w:spacing w:after="200"/>
      </w:pPr>
      <w:r>
        <w:t xml:space="preserve">Staff using personal phones with AI assistants, dictation apps, or health tracking tools while at work. The boundaries between personal and professional device use blur, and PHI may traverse unmanaged systems.</w:t>
      </w:r>
    </w:p>
    <w:p>
      <w:pPr>
        <w:pStyle w:val="Heading2"/>
      </w:pPr>
      <w:r>
        <w:t xml:space="preserve">Why Shadow AI Happens</w:t>
      </w:r>
    </w:p>
    <w:p>
      <w:pPr>
        <w:spacing w:after="200"/>
      </w:pPr>
      <w:r>
        <w:t xml:space="preserve">Understanding the drivers helps address the root cause rather than just the symptoms:</w:t>
      </w:r>
    </w:p>
    <w:p>
      <w:pPr>
        <w:pStyle w:val="ListParagraph"/>
        <w:numPr>
          <w:ilvl w:val="0"/>
          <w:numId w:val="4"/>
        </w:numPr>
      </w:pPr>
      <w:r>
        <w:rPr>
          <w:b/>
          <w:bCs/>
        </w:rPr>
        <w:t xml:space="preserve">Productivity pressure: </w:t>
      </w:r>
      <w:r>
        <w:t xml:space="preserve">Clinicians are drowning in documentation. AI tools offer genuine time savings. The incentive to use them is powerful.</w:t>
      </w:r>
    </w:p>
    <w:p>
      <w:pPr>
        <w:pStyle w:val="ListParagraph"/>
        <w:numPr>
          <w:ilvl w:val="0"/>
          <w:numId w:val="4"/>
        </w:numPr>
      </w:pPr>
      <w:r>
        <w:rPr>
          <w:b/>
          <w:bCs/>
        </w:rPr>
        <w:t xml:space="preserve">Approval friction: </w:t>
      </w:r>
      <w:r>
        <w:t xml:space="preserve">Sanctioned AI tools often require lengthy procurement, security review, and IT integration. Free tools are available immediately.</w:t>
      </w:r>
    </w:p>
    <w:p>
      <w:pPr>
        <w:pStyle w:val="ListParagraph"/>
        <w:numPr>
          <w:ilvl w:val="0"/>
          <w:numId w:val="4"/>
        </w:numPr>
      </w:pPr>
      <w:r>
        <w:rPr>
          <w:b/>
          <w:bCs/>
        </w:rPr>
        <w:t xml:space="preserve">Awareness gaps: </w:t>
      </w:r>
      <w:r>
        <w:t xml:space="preserve">Many users don't understand that pasting text into an AI tool constitutes a data transmission to an external server.</w:t>
      </w:r>
    </w:p>
    <w:p>
      <w:pPr>
        <w:pStyle w:val="ListParagraph"/>
        <w:numPr>
          <w:ilvl w:val="0"/>
          <w:numId w:val="4"/>
        </w:numPr>
      </w:pPr>
      <w:r>
        <w:rPr>
          <w:b/>
          <w:bCs/>
        </w:rPr>
        <w:t xml:space="preserve">Tool limitations: </w:t>
      </w:r>
      <w:r>
        <w:t xml:space="preserve">Approved tools may not meet user needs, pushing staff to seek alternatives.</w:t>
      </w:r>
    </w:p>
    <w:p>
      <w:pPr>
        <w:pStyle w:val="ListParagraph"/>
        <w:numPr>
          <w:ilvl w:val="0"/>
          <w:numId w:val="4"/>
        </w:numPr>
        <w:spacing w:after="200"/>
      </w:pPr>
      <w:r>
        <w:rPr>
          <w:b/>
          <w:bCs/>
        </w:rPr>
        <w:t xml:space="preserve">Embedded AI: </w:t>
      </w:r>
      <w:r>
        <w:t xml:space="preserve">AI features are increasingly embedded in approved tools (CRM systems, email clients) without separate vetting.</w:t>
      </w:r>
    </w:p>
    <w:p>
      <w:pPr>
        <w:pStyle w:val="Heading2"/>
      </w:pPr>
      <w:r>
        <w:t xml:space="preserve">Embedded and Hidden AI</w:t>
      </w:r>
    </w:p>
    <w:p>
      <w:pPr>
        <w:spacing w:after="200"/>
      </w:pPr>
      <w:r>
        <w:t xml:space="preserve">Shadow AI isn't limited to tools employees actively seek out. AI features are increasingly embedded within trusted SaaS platforms—approved applications may have AI capabilities that process data without separate security review. A CRM system adds an AI assistant. An email client offers AI-generated responses. A scheduling tool adds predictive features. The application is approved; the AI processing may not be.</w:t>
      </w:r>
    </w:p>
    <w:p>
      <w:pPr>
        <w:spacing w:after="200"/>
      </w:pPr>
      <w:r>
        <w:t xml:space="preserve">These embedded AI capabilities can only be detected through deep analysis of application configurations and data flows—traditional monitoring tools that focus on identifying what applications are in use miss AI features within approved applications.</w:t>
      </w:r>
    </w:p>
    <w:p>
      <w:pPr>
        <w:pStyle w:val="Heading2"/>
      </w:pPr>
      <w:r>
        <w:t xml:space="preserve">Governance Approaches</w:t>
      </w:r>
    </w:p>
    <w:p>
      <w:pPr>
        <w:spacing w:after="200"/>
      </w:pPr>
      <w:r>
        <w:t xml:space="preserve">Industry experts advise against blanket bans—they don't work and push usage further underground. Instead:</w:t>
      </w:r>
    </w:p>
    <w:p>
      <w:pPr>
        <w:pStyle w:val="ListParagraph"/>
        <w:numPr>
          <w:ilvl w:val="0"/>
          <w:numId w:val="5"/>
        </w:numPr>
      </w:pPr>
      <w:r>
        <w:rPr>
          <w:b/>
          <w:bCs/>
        </w:rPr>
        <w:t xml:space="preserve">Provide alternatives: </w:t>
      </w:r>
      <w:r>
        <w:t xml:space="preserve">Deploy enterprise AI tools with BAAs, security controls, and logging. Make the approved path as convenient as the shadow path.</w:t>
      </w:r>
    </w:p>
    <w:p>
      <w:pPr>
        <w:pStyle w:val="ListParagraph"/>
        <w:numPr>
          <w:ilvl w:val="0"/>
          <w:numId w:val="5"/>
        </w:numPr>
      </w:pPr>
      <w:r>
        <w:rPr>
          <w:b/>
          <w:bCs/>
        </w:rPr>
        <w:t xml:space="preserve">Create fast-track approval: </w:t>
      </w:r>
      <w:r>
        <w:t xml:space="preserve">Establish a streamlined process for evaluating new AI tools. Reduce the friction that drives shadow usage.</w:t>
      </w:r>
    </w:p>
    <w:p>
      <w:pPr>
        <w:pStyle w:val="ListParagraph"/>
        <w:numPr>
          <w:ilvl w:val="0"/>
          <w:numId w:val="5"/>
        </w:numPr>
      </w:pPr>
      <w:r>
        <w:rPr>
          <w:b/>
          <w:bCs/>
        </w:rPr>
        <w:t xml:space="preserve">Educate continuously: </w:t>
      </w:r>
      <w:r>
        <w:t xml:space="preserve">Help staff understand why the restrictions exist and what's at stake. Focus on the "why" rather than just the "don't."</w:t>
      </w:r>
    </w:p>
    <w:p>
      <w:pPr>
        <w:pStyle w:val="ListParagraph"/>
        <w:numPr>
          <w:ilvl w:val="0"/>
          <w:numId w:val="5"/>
        </w:numPr>
      </w:pPr>
      <w:r>
        <w:rPr>
          <w:b/>
          <w:bCs/>
        </w:rPr>
        <w:t xml:space="preserve">Monitor adaptively: </w:t>
      </w:r>
      <w:r>
        <w:t xml:space="preserve">Use tools that can detect AI usage, including embedded features. Treat detections as opportunities for guidance, not punishment.</w:t>
      </w:r>
    </w:p>
    <w:p>
      <w:pPr>
        <w:pStyle w:val="ListParagraph"/>
        <w:numPr>
          <w:ilvl w:val="0"/>
          <w:numId w:val="5"/>
        </w:numPr>
      </w:pPr>
      <w:r>
        <w:rPr>
          <w:b/>
          <w:bCs/>
        </w:rPr>
        <w:t xml:space="preserve">Establish governance structure: </w:t>
      </w:r>
      <w:r>
        <w:t xml:space="preserve">Create cross-functional AI committees with clinical, IT, compliance, and patient representation to set principles and gate deployments.</w:t>
      </w:r>
    </w:p>
    <w:p>
      <w:pPr>
        <w:pStyle w:val="ListParagraph"/>
        <w:numPr>
          <w:ilvl w:val="0"/>
          <w:numId w:val="5"/>
        </w:numPr>
        <w:spacing w:after="200"/>
      </w:pPr>
      <w:r>
        <w:rPr>
          <w:b/>
          <w:bCs/>
        </w:rPr>
        <w:t xml:space="preserve">Listen to shadow users: </w:t>
      </w:r>
      <w:r>
        <w:t xml:space="preserve">Shadow AI reveals unmet needs. Use it as free market research—what are people trying to accomplish that current tools don't support?</w:t>
      </w:r>
    </w:p>
    <w:p>
      <w:pPr>
        <w:pStyle w:val="Heading2"/>
      </w:pPr>
      <w:r>
        <w:t xml:space="preserve">Real-World Shadow AI Incidents</w:t>
      </w:r>
    </w:p>
    <w:p>
      <w:pPr>
        <w:spacing w:after="200"/>
      </w:pPr>
      <w:r>
        <w:t xml:space="preserve">Understanding how shadow AI incidents occur helps develop prevention strategies:</w:t>
      </w:r>
    </w:p>
    <w:p>
      <w:pPr>
        <w:spacing w:after="100"/>
      </w:pPr>
      <w:r>
        <w:rPr>
          <w:b/>
          <w:bCs/>
        </w:rPr>
        <w:t xml:space="preserve">The Productivity Trap:</w:t>
      </w:r>
    </w:p>
    <w:p>
      <w:pPr>
        <w:spacing w:after="150"/>
      </w:pPr>
      <w:r>
        <w:t xml:space="preserve">A physician discovers that ChatGPT can generate patient summaries in seconds. They start pasting de-identified summaries, then gradually include more context, then patient names "just this once" when they're running late. The habit forms, and by the time anyone notices, months of PHI has been transmitted to a non-BAA platform.</w:t>
      </w:r>
    </w:p>
    <w:p>
      <w:pPr>
        <w:spacing w:after="100"/>
      </w:pPr>
      <w:r>
        <w:rPr>
          <w:b/>
          <w:bCs/>
        </w:rPr>
        <w:t xml:space="preserve">The Meeting Transcription:</w:t>
      </w:r>
    </w:p>
    <w:p>
      <w:pPr>
        <w:spacing w:after="150"/>
      </w:pPr>
      <w:r>
        <w:t xml:space="preserve">A clinic uses an AI transcription tool for staff meetings. One meeting includes case discussions with patient names. The transcription is stored on the AI vendor's servers without anyone realizing it contains PHI. The vendor has no BAA and uses data for model training.</w:t>
      </w:r>
    </w:p>
    <w:p>
      <w:pPr>
        <w:spacing w:after="100"/>
      </w:pPr>
      <w:r>
        <w:rPr>
          <w:b/>
          <w:bCs/>
        </w:rPr>
        <w:t xml:space="preserve">The Personal Device:</w:t>
      </w:r>
    </w:p>
    <w:p>
      <w:pPr>
        <w:spacing w:after="150"/>
      </w:pPr>
      <w:r>
        <w:t xml:space="preserve">A nurse uses a personal phone with an AI assistant while working. The assistant is always listening, capturing conversations that include patient information. That data flows to the assistant provider's servers, outside any HIPAA controls.</w:t>
      </w:r>
    </w:p>
    <w:p>
      <w:pPr>
        <w:spacing w:after="100"/>
      </w:pPr>
      <w:r>
        <w:rPr>
          <w:b/>
          <w:bCs/>
        </w:rPr>
        <w:t xml:space="preserve">The Hidden Feature:</w:t>
      </w:r>
    </w:p>
    <w:p>
      <w:pPr>
        <w:spacing w:after="200"/>
      </w:pPr>
      <w:r>
        <w:t xml:space="preserve">An approved CRM system adds an AI feature in an update. The feature analyzes patient communications to suggest responses. No one realizes the new feature is processing PHI differently than the base system—and the BAA doesn't cover the AI processing.</w:t>
      </w:r>
    </w:p>
    <w:p>
      <w:pPr>
        <w:pStyle w:val="Heading2"/>
      </w:pPr>
      <w:r>
        <w:t xml:space="preserve">Detection and Response</w:t>
      </w:r>
    </w:p>
    <w:p>
      <w:pPr>
        <w:spacing w:after="200"/>
      </w:pPr>
      <w:r>
        <w:t xml:space="preserve">Detecting shadow AI requires moving beyond traditional IT monitoring:</w:t>
      </w:r>
    </w:p>
    <w:p>
      <w:pPr>
        <w:pStyle w:val="ListParagraph"/>
        <w:numPr>
          <w:ilvl w:val="0"/>
          <w:numId w:val="2"/>
        </w:numPr>
      </w:pPr>
      <w:r>
        <w:rPr>
          <w:b/>
          <w:bCs/>
        </w:rPr>
        <w:t xml:space="preserve">Network analysis: </w:t>
      </w:r>
      <w:r>
        <w:t xml:space="preserve">Monitor traffic to known AI service endpoints (openai.com, anthropic.com, etc.)</w:t>
      </w:r>
    </w:p>
    <w:p>
      <w:pPr>
        <w:pStyle w:val="ListParagraph"/>
        <w:numPr>
          <w:ilvl w:val="0"/>
          <w:numId w:val="2"/>
        </w:numPr>
      </w:pPr>
      <w:r>
        <w:rPr>
          <w:b/>
          <w:bCs/>
        </w:rPr>
        <w:t xml:space="preserve">Browser analysis: </w:t>
      </w:r>
      <w:r>
        <w:t xml:space="preserve">Track browser extensions and web app usage patterns</w:t>
      </w:r>
    </w:p>
    <w:p>
      <w:pPr>
        <w:pStyle w:val="ListParagraph"/>
        <w:numPr>
          <w:ilvl w:val="0"/>
          <w:numId w:val="2"/>
        </w:numPr>
      </w:pPr>
      <w:r>
        <w:rPr>
          <w:b/>
          <w:bCs/>
        </w:rPr>
        <w:t xml:space="preserve">Application auditing: </w:t>
      </w:r>
      <w:r>
        <w:t xml:space="preserve">Regularly audit software installations and SaaS subscriptions</w:t>
      </w:r>
    </w:p>
    <w:p>
      <w:pPr>
        <w:pStyle w:val="ListParagraph"/>
        <w:numPr>
          <w:ilvl w:val="0"/>
          <w:numId w:val="2"/>
        </w:numPr>
      </w:pPr>
      <w:r>
        <w:rPr>
          <w:b/>
          <w:bCs/>
        </w:rPr>
        <w:t xml:space="preserve">Employee surveys: </w:t>
      </w:r>
      <w:r>
        <w:t xml:space="preserve">Anonymous surveys can reveal AI tool usage that technical monitoring misses</w:t>
      </w:r>
    </w:p>
    <w:p>
      <w:pPr>
        <w:pStyle w:val="ListParagraph"/>
        <w:numPr>
          <w:ilvl w:val="0"/>
          <w:numId w:val="2"/>
        </w:numPr>
        <w:spacing w:after="200"/>
      </w:pPr>
      <w:r>
        <w:rPr>
          <w:b/>
          <w:bCs/>
        </w:rPr>
        <w:t xml:space="preserve">API monitoring: </w:t>
      </w:r>
      <w:r>
        <w:t xml:space="preserve">Watch for unexpected API calls or data egress patterns</w:t>
      </w:r>
    </w:p>
    <w:p>
      <w:pPr>
        <w:spacing w:after="200"/>
      </w:pPr>
      <w:r>
        <w:t xml:space="preserve">When shadow AI is detected, the response should be educational rather than punitive (in most cases). The goal is to bring usage into compliance, not to discourage efficiency-seeking behavior entirely. Discipline for the user is usually less important than learning from the incident to improve systems and training.</w:t>
      </w:r>
    </w:p>
    <w:p>
      <w:r>
        <w:br w:type="page"/>
      </w:r>
    </w:p>
    <w:p>
      <w:pPr>
        <w:pStyle w:val="Heading1"/>
      </w:pPr>
      <w:r>
        <w:t xml:space="preserve">Part 6: What You Should Actually Do</w:t>
      </w:r>
    </w:p>
    <w:p>
      <w:pPr>
        <w:pStyle w:val="Heading2"/>
      </w:pPr>
      <w:r>
        <w:t xml:space="preserve">Before Deploying Any AI System</w:t>
      </w:r>
    </w:p>
    <w:p>
      <w:pPr>
        <w:pStyle w:val="ListParagraph"/>
        <w:numPr>
          <w:ilvl w:val="0"/>
          <w:numId w:val="6"/>
        </w:numPr>
      </w:pPr>
      <w:r>
        <w:rPr>
          <w:b/>
          <w:bCs/>
        </w:rPr>
        <w:t xml:space="preserve">Map the data flows: </w:t>
      </w:r>
      <w:r>
        <w:t xml:space="preserve">Where does PHI enter the system? Where is it stored? Where does it go? Who has access?</w:t>
      </w:r>
    </w:p>
    <w:p>
      <w:pPr>
        <w:pStyle w:val="ListParagraph"/>
        <w:numPr>
          <w:ilvl w:val="0"/>
          <w:numId w:val="6"/>
        </w:numPr>
      </w:pPr>
      <w:r>
        <w:rPr>
          <w:b/>
          <w:bCs/>
        </w:rPr>
        <w:t xml:space="preserve">Verify BAA status: </w:t>
      </w:r>
      <w:r>
        <w:t xml:space="preserve">Is a Business Associate Agreement in place? What does it actually cover? Does it address AI-specific risks?</w:t>
      </w:r>
    </w:p>
    <w:p>
      <w:pPr>
        <w:pStyle w:val="ListParagraph"/>
        <w:numPr>
          <w:ilvl w:val="0"/>
          <w:numId w:val="6"/>
        </w:numPr>
      </w:pPr>
      <w:r>
        <w:rPr>
          <w:b/>
          <w:bCs/>
        </w:rPr>
        <w:t xml:space="preserve">Assess minimum necessary: </w:t>
      </w:r>
      <w:r>
        <w:t xml:space="preserve">Does the AI need all the data being provided? Can inputs be limited to what's actually required?</w:t>
      </w:r>
    </w:p>
    <w:p>
      <w:pPr>
        <w:pStyle w:val="ListParagraph"/>
        <w:numPr>
          <w:ilvl w:val="0"/>
          <w:numId w:val="6"/>
        </w:numPr>
      </w:pPr>
      <w:r>
        <w:rPr>
          <w:b/>
          <w:bCs/>
        </w:rPr>
        <w:t xml:space="preserve">Evaluate de-identification: </w:t>
      </w:r>
      <w:r>
        <w:t xml:space="preserve">If using de-identified data, which method was used? Has re-identification risk been assessed in light of AI capabilities?</w:t>
      </w:r>
    </w:p>
    <w:p>
      <w:pPr>
        <w:pStyle w:val="ListParagraph"/>
        <w:numPr>
          <w:ilvl w:val="0"/>
          <w:numId w:val="6"/>
        </w:numPr>
      </w:pPr>
      <w:r>
        <w:rPr>
          <w:b/>
          <w:bCs/>
        </w:rPr>
        <w:t xml:space="preserve">Review data retention: </w:t>
      </w:r>
      <w:r>
        <w:t xml:space="preserve">How long does the vendor retain inputs? Are they used for model training? What happens to audit logs?</w:t>
      </w:r>
    </w:p>
    <w:p>
      <w:pPr>
        <w:pStyle w:val="ListParagraph"/>
        <w:numPr>
          <w:ilvl w:val="0"/>
          <w:numId w:val="6"/>
        </w:numPr>
      </w:pPr>
      <w:r>
        <w:rPr>
          <w:b/>
          <w:bCs/>
        </w:rPr>
        <w:t xml:space="preserve">Plan for breach: </w:t>
      </w:r>
      <w:r>
        <w:t xml:space="preserve">If PHI is exposed through this system, what's the notification plan? Who's responsible for detection?</w:t>
      </w:r>
    </w:p>
    <w:p>
      <w:pPr>
        <w:pStyle w:val="ListParagraph"/>
        <w:numPr>
          <w:ilvl w:val="0"/>
          <w:numId w:val="6"/>
        </w:numPr>
        <w:spacing w:after="200"/>
      </w:pPr>
      <w:r>
        <w:rPr>
          <w:b/>
          <w:bCs/>
        </w:rPr>
        <w:t xml:space="preserve">Document everything: </w:t>
      </w:r>
      <w:r>
        <w:t xml:space="preserve">Risk assessments, vendor evaluations, configuration decisions, training records. The documentation is your defense.</w:t>
      </w:r>
    </w:p>
    <w:p>
      <w:pPr>
        <w:pStyle w:val="Heading2"/>
      </w:pPr>
      <w:r>
        <w:t xml:space="preserve">Building an AI Governance Program</w:t>
      </w:r>
    </w:p>
    <w:p>
      <w:pPr>
        <w:spacing w:after="200"/>
      </w:pPr>
      <w:r>
        <w:t xml:space="preserve">Beyond individual deployment decisions, organizations need a systematic approach to AI governance. Key components include:</w:t>
      </w:r>
    </w:p>
    <w:p>
      <w:pPr>
        <w:spacing w:after="100"/>
      </w:pPr>
      <w:r>
        <w:rPr>
          <w:b/>
          <w:bCs/>
        </w:rPr>
        <w:t xml:space="preserve">AI Governance Committee:</w:t>
      </w:r>
    </w:p>
    <w:p>
      <w:pPr>
        <w:spacing w:after="150"/>
      </w:pPr>
      <w:r>
        <w:t xml:space="preserve">Cross-functional body including clinical leadership, IT/security, compliance/legal, and patient representatives. This committee sets principles (safety, equity, privacy), evaluates and approves AI deployments, and monitors post-implementation performance.</w:t>
      </w:r>
    </w:p>
    <w:p>
      <w:pPr>
        <w:spacing w:after="100"/>
      </w:pPr>
      <w:r>
        <w:rPr>
          <w:b/>
          <w:bCs/>
        </w:rPr>
        <w:t xml:space="preserve">Risk Assessment Framework:</w:t>
      </w:r>
    </w:p>
    <w:p>
      <w:pPr>
        <w:spacing w:after="150"/>
      </w:pPr>
      <w:r>
        <w:t xml:space="preserve">Standardized process for evaluating AI tools before deployment. Should address data sensitivity, vendor security, clinical impact, bias potential, and failure modes. NIST AI RMF provides a useful starting point.</w:t>
      </w:r>
    </w:p>
    <w:p>
      <w:pPr>
        <w:spacing w:after="100"/>
      </w:pPr>
      <w:r>
        <w:rPr>
          <w:b/>
          <w:bCs/>
        </w:rPr>
        <w:t xml:space="preserve">Approved Tool Inventory:</w:t>
      </w:r>
    </w:p>
    <w:p>
      <w:pPr>
        <w:spacing w:after="150"/>
      </w:pPr>
      <w:r>
        <w:t xml:space="preserve">Maintained list of AI tools approved for various use cases, with documentation of their compliance status, BAA coverage, and permitted use cases. Makes it easy for staff to find compliant alternatives.</w:t>
      </w:r>
    </w:p>
    <w:p>
      <w:pPr>
        <w:spacing w:after="100"/>
      </w:pPr>
      <w:r>
        <w:rPr>
          <w:b/>
          <w:bCs/>
        </w:rPr>
        <w:t xml:space="preserve">Training Program:</w:t>
      </w:r>
    </w:p>
    <w:p>
      <w:pPr>
        <w:spacing w:after="150"/>
      </w:pPr>
      <w:r>
        <w:t xml:space="preserve">Regular education on AI and PHI risks, appropriate use policies, and how to request new tools. Should be role-specific—clinicians need different training than administrative staff.</w:t>
      </w:r>
    </w:p>
    <w:p>
      <w:pPr>
        <w:spacing w:after="100"/>
      </w:pPr>
      <w:r>
        <w:rPr>
          <w:b/>
          <w:bCs/>
        </w:rPr>
        <w:t xml:space="preserve">Incident Response Plan:</w:t>
      </w:r>
    </w:p>
    <w:p>
      <w:pPr>
        <w:spacing w:after="200"/>
      </w:pPr>
      <w:r>
        <w:t xml:space="preserve">Specific procedures for AI-related incidents, including unauthorized AI use, data exposure through AI tools, and AI system failures. Integrate with existing breach response procedures.</w:t>
      </w:r>
    </w:p>
    <w:p>
      <w:pPr>
        <w:pStyle w:val="Heading2"/>
      </w:pPr>
      <w:r>
        <w:t xml:space="preserve">Vendor Evaluation Questions</w:t>
      </w:r>
    </w:p>
    <w:p>
      <w:pPr>
        <w:spacing w:after="200"/>
      </w:pPr>
      <w:r>
        <w:t xml:space="preserve">When evaluating AI vendors for healthcare use, ask:</w:t>
      </w:r>
    </w:p>
    <w:p>
      <w:pPr>
        <w:pStyle w:val="ListParagraph"/>
        <w:numPr>
          <w:ilvl w:val="0"/>
          <w:numId w:val="2"/>
        </w:numPr>
      </w:pPr>
      <w:r>
        <w:t xml:space="preserve">Will you sign our BAA (or provide your standard BAA for review)?</w:t>
      </w:r>
    </w:p>
    <w:p>
      <w:pPr>
        <w:pStyle w:val="ListParagraph"/>
        <w:numPr>
          <w:ilvl w:val="0"/>
          <w:numId w:val="2"/>
        </w:numPr>
      </w:pPr>
      <w:r>
        <w:t xml:space="preserve">Where is data processed and stored? Which jurisdictions?</w:t>
      </w:r>
    </w:p>
    <w:p>
      <w:pPr>
        <w:pStyle w:val="ListParagraph"/>
        <w:numPr>
          <w:ilvl w:val="0"/>
          <w:numId w:val="2"/>
        </w:numPr>
      </w:pPr>
      <w:r>
        <w:t xml:space="preserve">Is any data used to train or improve your models? How can we opt out?</w:t>
      </w:r>
    </w:p>
    <w:p>
      <w:pPr>
        <w:pStyle w:val="ListParagraph"/>
        <w:numPr>
          <w:ilvl w:val="0"/>
          <w:numId w:val="2"/>
        </w:numPr>
      </w:pPr>
      <w:r>
        <w:t xml:space="preserve">What encryption is used in transit and at rest?</w:t>
      </w:r>
    </w:p>
    <w:p>
      <w:pPr>
        <w:pStyle w:val="ListParagraph"/>
        <w:numPr>
          <w:ilvl w:val="0"/>
          <w:numId w:val="2"/>
        </w:numPr>
      </w:pPr>
      <w:r>
        <w:t xml:space="preserve">How long is data retained? Can we specify retention limits?</w:t>
      </w:r>
    </w:p>
    <w:p>
      <w:pPr>
        <w:pStyle w:val="ListParagraph"/>
        <w:numPr>
          <w:ilvl w:val="0"/>
          <w:numId w:val="2"/>
        </w:numPr>
      </w:pPr>
      <w:r>
        <w:t xml:space="preserve">What audit logging is available? Who can access logs?</w:t>
      </w:r>
    </w:p>
    <w:p>
      <w:pPr>
        <w:pStyle w:val="ListParagraph"/>
        <w:numPr>
          <w:ilvl w:val="0"/>
          <w:numId w:val="2"/>
        </w:numPr>
      </w:pPr>
      <w:r>
        <w:t xml:space="preserve">What's your incident response process? What's the notification timeline?</w:t>
      </w:r>
    </w:p>
    <w:p>
      <w:pPr>
        <w:pStyle w:val="ListParagraph"/>
        <w:numPr>
          <w:ilvl w:val="0"/>
          <w:numId w:val="2"/>
        </w:numPr>
      </w:pPr>
      <w:r>
        <w:t xml:space="preserve">Have you completed SOC 2 Type II? Can we review the report?</w:t>
      </w:r>
    </w:p>
    <w:p>
      <w:pPr>
        <w:pStyle w:val="ListParagraph"/>
        <w:numPr>
          <w:ilvl w:val="0"/>
          <w:numId w:val="2"/>
        </w:numPr>
      </w:pPr>
      <w:r>
        <w:t xml:space="preserve">What access controls are available? Can we implement role-based access?</w:t>
      </w:r>
    </w:p>
    <w:p>
      <w:pPr>
        <w:pStyle w:val="ListParagraph"/>
        <w:numPr>
          <w:ilvl w:val="0"/>
          <w:numId w:val="2"/>
        </w:numPr>
        <w:spacing w:after="200"/>
      </w:pPr>
      <w:r>
        <w:t xml:space="preserve">How do you handle de-identification? What method? Has it been validated?</w:t>
      </w:r>
    </w:p>
    <w:p>
      <w:pPr>
        <w:pStyle w:val="Heading2"/>
      </w:pPr>
      <w:r>
        <w:t xml:space="preserve">Risk Stratification</w:t>
      </w:r>
    </w:p>
    <w:p>
      <w:pPr>
        <w:spacing w:after="100"/>
      </w:pPr>
      <w:r>
        <w:t xml:space="preserve">Not all AI use cases carry equal risk. Stratify by data sensitivity and exposure:</w:t>
      </w:r>
    </w:p>
    <w:p>
      <w:pPr>
        <w:spacing w:after="100"/>
      </w:pPr>
      <w:r>
        <w:rPr>
          <w:b/>
          <w:bCs/>
        </w:rPr>
        <w:t xml:space="preserve">Lower Risk:</w:t>
      </w:r>
    </w:p>
    <w:p>
      <w:pPr>
        <w:pStyle w:val="ListParagraph"/>
        <w:numPr>
          <w:ilvl w:val="0"/>
          <w:numId w:val="2"/>
        </w:numPr>
      </w:pPr>
      <w:r>
        <w:t xml:space="preserve">AI tools using only de-identified data (with expert determination)</w:t>
      </w:r>
    </w:p>
    <w:p>
      <w:pPr>
        <w:pStyle w:val="ListParagraph"/>
        <w:numPr>
          <w:ilvl w:val="0"/>
          <w:numId w:val="2"/>
        </w:numPr>
      </w:pPr>
      <w:r>
        <w:t xml:space="preserve">On-premises AI with no external data transmission</w:t>
      </w:r>
    </w:p>
    <w:p>
      <w:pPr>
        <w:pStyle w:val="ListParagraph"/>
        <w:numPr>
          <w:ilvl w:val="0"/>
          <w:numId w:val="2"/>
        </w:numPr>
        <w:spacing w:after="100"/>
      </w:pPr>
      <w:r>
        <w:t xml:space="preserve">AI for non-clinical administrative tasks without patient data</w:t>
      </w:r>
    </w:p>
    <w:p>
      <w:pPr>
        <w:spacing w:after="100"/>
      </w:pPr>
      <w:r>
        <w:rPr>
          <w:b/>
          <w:bCs/>
        </w:rPr>
        <w:t xml:space="preserve">Moderate Risk:</w:t>
      </w:r>
    </w:p>
    <w:p>
      <w:pPr>
        <w:pStyle w:val="ListParagraph"/>
        <w:numPr>
          <w:ilvl w:val="0"/>
          <w:numId w:val="2"/>
        </w:numPr>
      </w:pPr>
      <w:r>
        <w:t xml:space="preserve">Cloud AI with BAA, zero retention, encryption, access controls</w:t>
      </w:r>
    </w:p>
    <w:p>
      <w:pPr>
        <w:pStyle w:val="ListParagraph"/>
        <w:numPr>
          <w:ilvl w:val="0"/>
          <w:numId w:val="2"/>
        </w:numPr>
      </w:pPr>
      <w:r>
        <w:t xml:space="preserve">AI-assisted documentation with human review before finalization</w:t>
      </w:r>
    </w:p>
    <w:p>
      <w:pPr>
        <w:pStyle w:val="ListParagraph"/>
        <w:numPr>
          <w:ilvl w:val="0"/>
          <w:numId w:val="2"/>
        </w:numPr>
        <w:spacing w:after="100"/>
      </w:pPr>
      <w:r>
        <w:t xml:space="preserve">Clinical decision support with transparent recommendations</w:t>
      </w:r>
    </w:p>
    <w:p>
      <w:pPr>
        <w:spacing w:after="100"/>
      </w:pPr>
      <w:r>
        <w:rPr>
          <w:b/>
          <w:bCs/>
        </w:rPr>
        <w:t xml:space="preserve">Higher Risk:</w:t>
      </w:r>
    </w:p>
    <w:p>
      <w:pPr>
        <w:pStyle w:val="ListParagraph"/>
        <w:numPr>
          <w:ilvl w:val="0"/>
          <w:numId w:val="2"/>
        </w:numPr>
      </w:pPr>
      <w:r>
        <w:t xml:space="preserve">Patient-facing AI with direct PHI collection</w:t>
      </w:r>
    </w:p>
    <w:p>
      <w:pPr>
        <w:pStyle w:val="ListParagraph"/>
        <w:numPr>
          <w:ilvl w:val="0"/>
          <w:numId w:val="2"/>
        </w:numPr>
      </w:pPr>
      <w:r>
        <w:t xml:space="preserve">AI training on identifiable patient data</w:t>
      </w:r>
    </w:p>
    <w:p>
      <w:pPr>
        <w:pStyle w:val="ListParagraph"/>
        <w:numPr>
          <w:ilvl w:val="0"/>
          <w:numId w:val="2"/>
        </w:numPr>
      </w:pPr>
      <w:r>
        <w:t xml:space="preserve">AI making autonomous clinical decisions</w:t>
      </w:r>
    </w:p>
    <w:p>
      <w:pPr>
        <w:pStyle w:val="ListParagraph"/>
        <w:numPr>
          <w:ilvl w:val="0"/>
          <w:numId w:val="2"/>
        </w:numPr>
        <w:spacing w:after="200"/>
      </w:pPr>
      <w:r>
        <w:t xml:space="preserve">Any AI use without BAA or on consumer platforms</w:t>
      </w:r>
    </w:p>
    <w:p>
      <w:r>
        <w:br w:type="page"/>
      </w:r>
    </w:p>
    <w:p>
      <w:pPr>
        <w:pStyle w:val="Heading1"/>
      </w:pPr>
      <w:r>
        <w:t xml:space="preserve">Part 7: The Regulatory Landscape (It's Changing)</w:t>
      </w:r>
    </w:p>
    <w:p>
      <w:pPr>
        <w:pStyle w:val="Heading2"/>
      </w:pPr>
      <w:r>
        <w:t xml:space="preserve">HIPAA Security Rule Update (Proposed January 2025)</w:t>
      </w:r>
    </w:p>
    <w:p>
      <w:pPr>
        <w:spacing w:after="200"/>
      </w:pPr>
      <w:r>
        <w:t xml:space="preserve">HHS proposed the first major Security Rule update in 20 years. Key changes affecting AI:</w:t>
      </w:r>
    </w:p>
    <w:p>
      <w:pPr>
        <w:pStyle w:val="ListParagraph"/>
        <w:numPr>
          <w:ilvl w:val="0"/>
          <w:numId w:val="2"/>
        </w:numPr>
      </w:pPr>
      <w:r>
        <w:rPr>
          <w:b/>
          <w:bCs/>
        </w:rPr>
        <w:t xml:space="preserve">Required vs. Addressable: </w:t>
      </w:r>
      <w:r>
        <w:t xml:space="preserve">All implementation specifications become required (with limited exceptions)</w:t>
      </w:r>
    </w:p>
    <w:p>
      <w:pPr>
        <w:pStyle w:val="ListParagraph"/>
        <w:numPr>
          <w:ilvl w:val="0"/>
          <w:numId w:val="2"/>
        </w:numPr>
      </w:pPr>
      <w:r>
        <w:rPr>
          <w:b/>
          <w:bCs/>
        </w:rPr>
        <w:t xml:space="preserve">Encryption mandate: </w:t>
      </w:r>
      <w:r>
        <w:t xml:space="preserve">Encryption required for ePHI at rest and in transit</w:t>
      </w:r>
    </w:p>
    <w:p>
      <w:pPr>
        <w:pStyle w:val="ListParagraph"/>
        <w:numPr>
          <w:ilvl w:val="0"/>
          <w:numId w:val="2"/>
        </w:numPr>
      </w:pPr>
      <w:r>
        <w:rPr>
          <w:b/>
          <w:bCs/>
        </w:rPr>
        <w:t xml:space="preserve">Multi-factor authentication: </w:t>
      </w:r>
      <w:r>
        <w:t xml:space="preserve">Required for access to systems containing ePHI</w:t>
      </w:r>
    </w:p>
    <w:p>
      <w:pPr>
        <w:pStyle w:val="ListParagraph"/>
        <w:numPr>
          <w:ilvl w:val="0"/>
          <w:numId w:val="2"/>
        </w:numPr>
      </w:pPr>
      <w:r>
        <w:rPr>
          <w:b/>
          <w:bCs/>
        </w:rPr>
        <w:t xml:space="preserve">Network segmentation: </w:t>
      </w:r>
      <w:r>
        <w:t xml:space="preserve">Required isolation of systems containing ePHI</w:t>
      </w:r>
    </w:p>
    <w:p>
      <w:pPr>
        <w:pStyle w:val="ListParagraph"/>
        <w:numPr>
          <w:ilvl w:val="0"/>
          <w:numId w:val="2"/>
        </w:numPr>
      </w:pPr>
      <w:r>
        <w:rPr>
          <w:b/>
          <w:bCs/>
        </w:rPr>
        <w:t xml:space="preserve">Vulnerability scanning: </w:t>
      </w:r>
      <w:r>
        <w:t xml:space="preserve">At least every 6 months; penetration testing annually</w:t>
      </w:r>
    </w:p>
    <w:p>
      <w:pPr>
        <w:pStyle w:val="ListParagraph"/>
        <w:numPr>
          <w:ilvl w:val="0"/>
          <w:numId w:val="2"/>
        </w:numPr>
      </w:pPr>
      <w:r>
        <w:rPr>
          <w:b/>
          <w:bCs/>
        </w:rPr>
        <w:t xml:space="preserve">72-hour recovery: </w:t>
      </w:r>
      <w:r>
        <w:t xml:space="preserve">Disaster recovery plans must enable critical system restoration within 72 hours</w:t>
      </w:r>
    </w:p>
    <w:p>
      <w:pPr>
        <w:pStyle w:val="ListParagraph"/>
        <w:numPr>
          <w:ilvl w:val="0"/>
          <w:numId w:val="2"/>
        </w:numPr>
        <w:spacing w:after="200"/>
      </w:pPr>
      <w:r>
        <w:rPr>
          <w:b/>
          <w:bCs/>
        </w:rPr>
        <w:t xml:space="preserve">Vendor verification: </w:t>
      </w:r>
      <w:r>
        <w:t xml:space="preserve">Annual verification that business associates meet security requirements</w:t>
      </w:r>
    </w:p>
    <w:p>
      <w:pPr>
        <w:spacing w:after="200"/>
      </w:pPr>
      <w:r>
        <w:t xml:space="preserve">Notably, HHS explicitly acknowledged AI/ML risks but stopped short of proposing AI-specific requirements, instead requesting additional input. Compliance date would be 180 days after final rule publication.</w:t>
      </w:r>
    </w:p>
    <w:p>
      <w:pPr>
        <w:pStyle w:val="Heading2"/>
      </w:pPr>
      <w:r>
        <w:t xml:space="preserve">FTC Enforcement Expansion</w:t>
      </w:r>
    </w:p>
    <w:p>
      <w:pPr>
        <w:spacing w:after="200"/>
      </w:pPr>
      <w:r>
        <w:t xml:space="preserve">The FTC has aggressively expanded health data enforcement, particularly for entities not covered by HIPAA:</w:t>
      </w:r>
    </w:p>
    <w:p>
      <w:pPr>
        <w:pStyle w:val="ListParagraph"/>
        <w:numPr>
          <w:ilvl w:val="0"/>
          <w:numId w:val="2"/>
        </w:numPr>
      </w:pPr>
      <w:r>
        <w:rPr>
          <w:b/>
          <w:bCs/>
        </w:rPr>
        <w:t xml:space="preserve">Health Breach Notification Rule: </w:t>
      </w:r>
      <w:r>
        <w:t xml:space="preserve">Updated in 2024 to clarify application to health apps and connected devices</w:t>
      </w:r>
    </w:p>
    <w:p>
      <w:pPr>
        <w:pStyle w:val="ListParagraph"/>
        <w:numPr>
          <w:ilvl w:val="0"/>
          <w:numId w:val="2"/>
        </w:numPr>
      </w:pPr>
      <w:r>
        <w:rPr>
          <w:b/>
          <w:bCs/>
        </w:rPr>
        <w:t xml:space="preserve">Recent enforcement: </w:t>
      </w:r>
      <w:r>
        <w:t xml:space="preserve">GoodRx ($1.5M penalty), BetterHelp ($7.8M), Premom, Flo Health—all for unauthorized health data sharing</w:t>
      </w:r>
    </w:p>
    <w:p>
      <w:pPr>
        <w:pStyle w:val="ListParagraph"/>
        <w:numPr>
          <w:ilvl w:val="0"/>
          <w:numId w:val="2"/>
        </w:numPr>
      </w:pPr>
      <w:r>
        <w:rPr>
          <w:b/>
          <w:bCs/>
        </w:rPr>
        <w:t xml:space="preserve">Broad interpretation: </w:t>
      </w:r>
      <w:r>
        <w:t xml:space="preserve">FTC considers health information to include anything that "conveys information or enables inference about a consumer's health"</w:t>
      </w:r>
    </w:p>
    <w:p>
      <w:pPr>
        <w:pStyle w:val="ListParagraph"/>
        <w:numPr>
          <w:ilvl w:val="0"/>
          <w:numId w:val="2"/>
        </w:numPr>
        <w:spacing w:after="200"/>
      </w:pPr>
      <w:r>
        <w:rPr>
          <w:b/>
          <w:bCs/>
        </w:rPr>
        <w:t xml:space="preserve">Algorithm deletion: </w:t>
      </w:r>
      <w:r>
        <w:t xml:space="preserve">FTC has ordered companies to delete algorithms trained on improperly obtained data</w:t>
      </w:r>
    </w:p>
    <w:p>
      <w:pPr>
        <w:pStyle w:val="Heading2"/>
      </w:pPr>
      <w:r>
        <w:t xml:space="preserve">State-Level Activity</w:t>
      </w:r>
    </w:p>
    <w:p>
      <w:pPr>
        <w:spacing w:after="200"/>
      </w:pPr>
      <w:r>
        <w:t xml:space="preserve">States are filling gaps in federal coverage with their own health data laws:</w:t>
      </w:r>
    </w:p>
    <w:p>
      <w:pPr>
        <w:pStyle w:val="ListParagraph"/>
        <w:numPr>
          <w:ilvl w:val="0"/>
          <w:numId w:val="2"/>
        </w:numPr>
      </w:pPr>
      <w:r>
        <w:rPr>
          <w:b/>
          <w:bCs/>
        </w:rPr>
        <w:t xml:space="preserve">Washington: </w:t>
      </w:r>
      <w:r>
        <w:t xml:space="preserve">My Health My Data Act—comprehensive protections for consumer health data</w:t>
      </w:r>
    </w:p>
    <w:p>
      <w:pPr>
        <w:pStyle w:val="ListParagraph"/>
        <w:numPr>
          <w:ilvl w:val="0"/>
          <w:numId w:val="2"/>
        </w:numPr>
      </w:pPr>
      <w:r>
        <w:rPr>
          <w:b/>
          <w:bCs/>
        </w:rPr>
        <w:t xml:space="preserve">California: </w:t>
      </w:r>
      <w:r>
        <w:t xml:space="preserve">CCPA/CPRA includes health data protections beyond HIPAA-covered entities</w:t>
      </w:r>
    </w:p>
    <w:p>
      <w:pPr>
        <w:pStyle w:val="ListParagraph"/>
        <w:numPr>
          <w:ilvl w:val="0"/>
          <w:numId w:val="2"/>
        </w:numPr>
      </w:pPr>
      <w:r>
        <w:rPr>
          <w:b/>
          <w:bCs/>
        </w:rPr>
        <w:t xml:space="preserve">Connecticut, Nevada, others: </w:t>
      </w:r>
      <w:r>
        <w:t xml:space="preserve">Various consumer health data protections</w:t>
      </w:r>
    </w:p>
    <w:p>
      <w:pPr>
        <w:pStyle w:val="ListParagraph"/>
        <w:numPr>
          <w:ilvl w:val="0"/>
          <w:numId w:val="2"/>
        </w:numPr>
        <w:spacing w:after="200"/>
      </w:pPr>
      <w:r>
        <w:rPr>
          <w:b/>
          <w:bCs/>
        </w:rPr>
        <w:t xml:space="preserve">Trend: </w:t>
      </w:r>
      <w:r>
        <w:t xml:space="preserve">Growing patchwork requires careful jurisdiction-by-jurisdiction analysis</w:t>
      </w:r>
    </w:p>
    <w:p>
      <w:pPr>
        <w:pStyle w:val="Heading2"/>
      </w:pPr>
      <w:r>
        <w:t xml:space="preserve">AI-Specific Frameworks</w:t>
      </w:r>
    </w:p>
    <w:p>
      <w:pPr>
        <w:pStyle w:val="ListParagraph"/>
        <w:numPr>
          <w:ilvl w:val="0"/>
          <w:numId w:val="2"/>
        </w:numPr>
      </w:pPr>
      <w:r>
        <w:rPr>
          <w:b/>
          <w:bCs/>
        </w:rPr>
        <w:t xml:space="preserve">NIST AI Risk Management Framework: </w:t>
      </w:r>
      <w:r>
        <w:t xml:space="preserve">Voluntary framework for AI governance; can be used alongside HIPAA</w:t>
      </w:r>
    </w:p>
    <w:p>
      <w:pPr>
        <w:pStyle w:val="ListParagraph"/>
        <w:numPr>
          <w:ilvl w:val="0"/>
          <w:numId w:val="2"/>
        </w:numPr>
      </w:pPr>
      <w:r>
        <w:rPr>
          <w:b/>
          <w:bCs/>
        </w:rPr>
        <w:t xml:space="preserve">FDA AI/ML guidance: </w:t>
      </w:r>
      <w:r>
        <w:t xml:space="preserve">For AI-based medical devices; doesn't directly address HIPAA but intersects on data requirements</w:t>
      </w:r>
    </w:p>
    <w:p>
      <w:pPr>
        <w:pStyle w:val="ListParagraph"/>
        <w:numPr>
          <w:ilvl w:val="0"/>
          <w:numId w:val="2"/>
        </w:numPr>
        <w:spacing w:after="200"/>
      </w:pPr>
      <w:r>
        <w:rPr>
          <w:b/>
          <w:bCs/>
        </w:rPr>
        <w:t xml:space="preserve">EU AI Act: </w:t>
      </w:r>
      <w:r>
        <w:t xml:space="preserve">For organizations with EU operations; classifies health AI as high-risk with specific requirements</w:t>
      </w:r>
    </w:p>
    <w:p>
      <w:r>
        <w:br w:type="page"/>
      </w:r>
    </w:p>
    <w:p>
      <w:pPr>
        <w:pStyle w:val="Heading1"/>
      </w:pPr>
      <w:r>
        <w:t xml:space="preserve">Resources and References</w:t>
      </w:r>
    </w:p>
    <w:p>
      <w:pPr>
        <w:pStyle w:val="Heading2"/>
      </w:pPr>
      <w:r>
        <w:t xml:space="preserve">Official Guidance</w:t>
      </w:r>
    </w:p>
    <w:p>
      <w:pPr>
        <w:pStyle w:val="ListParagraph"/>
        <w:numPr>
          <w:ilvl w:val="0"/>
          <w:numId w:val="2"/>
        </w:numPr>
      </w:pPr>
      <w:r>
        <w:rPr>
          <w:b/>
          <w:bCs/>
        </w:rPr>
        <w:t xml:space="preserve">HHS De-identification Guidance: </w:t>
      </w:r>
      <w:r>
        <w:t xml:space="preserve">hhs.gov/hipaa/for-professionals/special-topics/de-identification</w:t>
      </w:r>
    </w:p>
    <w:p>
      <w:pPr>
        <w:pStyle w:val="ListParagraph"/>
        <w:numPr>
          <w:ilvl w:val="0"/>
          <w:numId w:val="2"/>
        </w:numPr>
      </w:pPr>
      <w:r>
        <w:rPr>
          <w:b/>
          <w:bCs/>
        </w:rPr>
        <w:t xml:space="preserve">HIPAA Security Rule NPRM (Jan 2025): </w:t>
      </w:r>
      <w:r>
        <w:t xml:space="preserve">federalregister.gov (search: 2024-30983)</w:t>
      </w:r>
    </w:p>
    <w:p>
      <w:pPr>
        <w:pStyle w:val="ListParagraph"/>
        <w:numPr>
          <w:ilvl w:val="0"/>
          <w:numId w:val="2"/>
        </w:numPr>
      </w:pPr>
      <w:r>
        <w:rPr>
          <w:b/>
          <w:bCs/>
        </w:rPr>
        <w:t xml:space="preserve">FTC Health Breach Notification Rule: </w:t>
      </w:r>
      <w:r>
        <w:t xml:space="preserve">ftc.gov/business-guidance/resources/complying-ftcs-health-breach-notification-rule</w:t>
      </w:r>
    </w:p>
    <w:p>
      <w:pPr>
        <w:pStyle w:val="ListParagraph"/>
        <w:numPr>
          <w:ilvl w:val="0"/>
          <w:numId w:val="2"/>
        </w:numPr>
      </w:pPr>
      <w:r>
        <w:rPr>
          <w:b/>
          <w:bCs/>
        </w:rPr>
        <w:t xml:space="preserve">NIST AI Risk Management Framework: </w:t>
      </w:r>
      <w:r>
        <w:t xml:space="preserve">nist.gov/itl/ai-risk-management-framework</w:t>
      </w:r>
    </w:p>
    <w:p>
      <w:pPr>
        <w:pStyle w:val="ListParagraph"/>
        <w:numPr>
          <w:ilvl w:val="0"/>
          <w:numId w:val="2"/>
        </w:numPr>
        <w:spacing w:after="200"/>
      </w:pPr>
      <w:r>
        <w:rPr>
          <w:b/>
          <w:bCs/>
        </w:rPr>
        <w:t xml:space="preserve">HHS/FTC Joint Guidance: </w:t>
      </w:r>
      <w:r>
        <w:t xml:space="preserve">hhs.gov/hipaa/for-professionals/special-topics/hipaa-ftc-act</w:t>
      </w:r>
    </w:p>
    <w:p>
      <w:pPr>
        <w:pStyle w:val="Heading2"/>
      </w:pPr>
      <w:r>
        <w:t xml:space="preserve">Academic and Industry Analysis</w:t>
      </w:r>
    </w:p>
    <w:p>
      <w:pPr>
        <w:pStyle w:val="ListParagraph"/>
        <w:numPr>
          <w:ilvl w:val="0"/>
          <w:numId w:val="2"/>
        </w:numPr>
      </w:pPr>
      <w:r>
        <w:rPr>
          <w:b/>
          <w:bCs/>
        </w:rPr>
        <w:t xml:space="preserve">"AI Chatbots and HIPAA Compliance" (PMC): </w:t>
      </w:r>
      <w:r>
        <w:t xml:space="preserve">pmc.ncbi.nlm.nih.gov/articles/PMC10937180/</w:t>
      </w:r>
    </w:p>
    <w:p>
      <w:pPr>
        <w:pStyle w:val="ListParagraph"/>
        <w:numPr>
          <w:ilvl w:val="0"/>
          <w:numId w:val="2"/>
        </w:numPr>
      </w:pPr>
      <w:r>
        <w:rPr>
          <w:b/>
          <w:bCs/>
        </w:rPr>
        <w:t xml:space="preserve">"Artificial Intelligence and the HIPAA Privacy Rule" (Houston Journal): </w:t>
      </w:r>
      <w:r>
        <w:t xml:space="preserve">houstonhealthlaw.scholasticahq.com</w:t>
      </w:r>
    </w:p>
    <w:p>
      <w:pPr>
        <w:pStyle w:val="ListParagraph"/>
        <w:numPr>
          <w:ilvl w:val="0"/>
          <w:numId w:val="2"/>
        </w:numPr>
      </w:pPr>
      <w:r>
        <w:rPr>
          <w:b/>
          <w:bCs/>
        </w:rPr>
        <w:t xml:space="preserve">Re-identification research (Sweeney): </w:t>
      </w:r>
      <w:r>
        <w:t xml:space="preserve">Foundational work on de-identification limitations</w:t>
      </w:r>
    </w:p>
    <w:p>
      <w:pPr>
        <w:pStyle w:val="ListParagraph"/>
        <w:numPr>
          <w:ilvl w:val="0"/>
          <w:numId w:val="2"/>
        </w:numPr>
        <w:spacing w:after="200"/>
      </w:pPr>
      <w:r>
        <w:rPr>
          <w:b/>
          <w:bCs/>
        </w:rPr>
        <w:t xml:space="preserve">FAIR-AI Framework (NPJ): </w:t>
      </w:r>
      <w:r>
        <w:t xml:space="preserve">Practical framework for AI governance in healthcare</w:t>
      </w:r>
    </w:p>
    <w:p>
      <w:pPr>
        <w:pStyle w:val="Heading2"/>
      </w:pPr>
      <w:r>
        <w:t xml:space="preserve">Vendor BAA Resources</w:t>
      </w:r>
    </w:p>
    <w:p>
      <w:pPr>
        <w:pStyle w:val="ListParagraph"/>
        <w:numPr>
          <w:ilvl w:val="0"/>
          <w:numId w:val="2"/>
        </w:numPr>
      </w:pPr>
      <w:r>
        <w:rPr>
          <w:b/>
          <w:bCs/>
        </w:rPr>
        <w:t xml:space="preserve">OpenAI BAA process: </w:t>
      </w:r>
      <w:r>
        <w:t xml:space="preserve">help.openai.com (search: BAA)</w:t>
      </w:r>
    </w:p>
    <w:p>
      <w:pPr>
        <w:pStyle w:val="ListParagraph"/>
        <w:numPr>
          <w:ilvl w:val="0"/>
          <w:numId w:val="2"/>
        </w:numPr>
      </w:pPr>
      <w:r>
        <w:rPr>
          <w:b/>
          <w:bCs/>
        </w:rPr>
        <w:t xml:space="preserve">Microsoft/Azure compliance: </w:t>
      </w:r>
      <w:r>
        <w:t xml:space="preserve">microsoft.com/licensing/terms (BAA in Product Terms)</w:t>
      </w:r>
    </w:p>
    <w:p>
      <w:pPr>
        <w:pStyle w:val="ListParagraph"/>
        <w:numPr>
          <w:ilvl w:val="0"/>
          <w:numId w:val="2"/>
        </w:numPr>
      </w:pPr>
      <w:r>
        <w:rPr>
          <w:b/>
          <w:bCs/>
        </w:rPr>
        <w:t xml:space="preserve">Google Cloud healthcare: </w:t>
      </w:r>
      <w:r>
        <w:t xml:space="preserve">cloud.google.com/security/compliance/hipaa</w:t>
      </w:r>
    </w:p>
    <w:p>
      <w:pPr>
        <w:pStyle w:val="ListParagraph"/>
        <w:numPr>
          <w:ilvl w:val="0"/>
          <w:numId w:val="2"/>
        </w:numPr>
        <w:spacing w:after="200"/>
      </w:pPr>
      <w:r>
        <w:rPr>
          <w:b/>
          <w:bCs/>
        </w:rPr>
        <w:t xml:space="preserve">AWS HIPAA-eligible services: </w:t>
      </w:r>
      <w:r>
        <w:t xml:space="preserve">aws.amazon.com/compliance/hipaa-eligible-services-reference/</w:t>
      </w:r>
    </w:p>
    <w:p>
      <w:pPr>
        <w:pStyle w:val="Heading2"/>
      </w:pPr>
      <w:r>
        <w:t xml:space="preserve">Practical Implementation</w:t>
      </w:r>
    </w:p>
    <w:p>
      <w:pPr>
        <w:pStyle w:val="ListParagraph"/>
        <w:numPr>
          <w:ilvl w:val="0"/>
          <w:numId w:val="2"/>
        </w:numPr>
      </w:pPr>
      <w:r>
        <w:rPr>
          <w:b/>
          <w:bCs/>
        </w:rPr>
        <w:t xml:space="preserve">HIPAA Journal AI coverage: </w:t>
      </w:r>
      <w:r>
        <w:t xml:space="preserve">hipaajournal.com (search: AI, ChatGPT)</w:t>
      </w:r>
    </w:p>
    <w:p>
      <w:pPr>
        <w:pStyle w:val="ListParagraph"/>
        <w:numPr>
          <w:ilvl w:val="0"/>
          <w:numId w:val="2"/>
        </w:numPr>
      </w:pPr>
      <w:r>
        <w:rPr>
          <w:b/>
          <w:bCs/>
        </w:rPr>
        <w:t xml:space="preserve">Shadow AI guidance: </w:t>
      </w:r>
      <w:r>
        <w:t xml:space="preserve">Various industry resources on detection and governance</w:t>
      </w:r>
    </w:p>
    <w:p>
      <w:pPr>
        <w:pStyle w:val="ListParagraph"/>
        <w:numPr>
          <w:ilvl w:val="0"/>
          <w:numId w:val="2"/>
        </w:numPr>
        <w:spacing w:after="200"/>
      </w:pPr>
      <w:r>
        <w:rPr>
          <w:b/>
          <w:bCs/>
        </w:rPr>
        <w:t xml:space="preserve">Ambient scribe comparisons: </w:t>
      </w:r>
      <w:r>
        <w:t xml:space="preserve">Industry comparisons of HIPAA-compliant documentation tools</w:t>
      </w:r>
    </w:p>
    <w:p>
      <w:r>
        <w:br w:type="page"/>
      </w:r>
    </w:p>
    <w:p>
      <w:pPr>
        <w:pStyle w:val="Heading1"/>
      </w:pPr>
      <w:r>
        <w:t xml:space="preserve">Conclusion: Navigating Regulatory Uncertainty</w:t>
      </w:r>
    </w:p>
    <w:p>
      <w:pPr>
        <w:spacing w:after="200"/>
      </w:pPr>
      <w:r>
        <w:t xml:space="preserve">We're operating in a gap between what AI can do and what regulators have addressed. HIPAA wasn't written for neural networks that learn from every input, for ambient systems that capture ambient conversation, for models that may retain training data in ways we can't fully audit.</w:t>
      </w:r>
    </w:p>
    <w:p>
      <w:pPr>
        <w:spacing w:after="200"/>
      </w:pPr>
      <w:r>
        <w:t xml:space="preserve">The proposed Security Rule update is a start, but it punts on AI-specific requirements. The FTC is aggressive but limited to non-HIPAA entities. State laws create a patchwork. And the technology is advancing faster than any regulatory process can match.</w:t>
      </w:r>
    </w:p>
    <w:p>
      <w:pPr>
        <w:spacing w:after="200"/>
      </w:pPr>
      <w:r>
        <w:t xml:space="preserve">In this environment, the safest approach is conservative: treat AI systems that touch patient data as high-risk by default, require BAAs and security verification before deployment, implement robust logging and monitoring, and build governance structures that can adapt as both capabilities and regulations evolve.</w:t>
      </w:r>
    </w:p>
    <w:p>
      <w:pPr>
        <w:spacing w:after="200"/>
      </w:pPr>
      <w:r>
        <w:t xml:space="preserve">The organizations that will navigate this best are those that view compliance not as a checkbox exercise but as a continuous process of risk assessment, monitoring, and adaptation. They'll build systems that are defensible not just against current regulations but against the regulations that are coming.</w:t>
      </w:r>
    </w:p>
    <w:p>
      <w:pPr>
        <w:spacing w:after="200"/>
      </w:pPr>
      <w:r>
        <w:t xml:space="preserve">Most importantly, they'll remember why these protections exist: patients trust us with their most sensitive information, and that trust is foundational to the therapeutic relationship. The goal isn't to avoid penalties—it's to honor the promise of confidentiality that makes healthcare work.</w:t>
      </w:r>
    </w:p>
    <w:p>
      <w:pPr>
        <w:spacing w:before="400"/>
      </w:pPr>
      <w:r>
        <w:rPr>
          <w:i/>
          <w:iCs/>
          <w:color w:val="666666"/>
          <w:sz w:val="20"/>
          <w:szCs w:val="20"/>
        </w:rPr>
        <w:t xml:space="preserve">Document prepared November 2025. Regulations evolve; verify current requirements before implementation.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20"/>
        <w:szCs w:val="20"/>
      </w:rPr>
      <w:t xml:space="preserve">PHI, HIPAA, and AI: A Practical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1a"/>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4495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d6d7e"/>
      <w:sz w:val="24"/>
      <w:szCs w:val="24"/>
    </w:rPr>
  </w:style>
  <w:style w:type="paragraph" w:styleId="Subtitle">
    <w:name w:val="Subtitle"/>
    <w:basedOn w:val="Normal"/>
    <w:pPr>
      <w:spacing w:before="0" w:after="400"/>
      <w:jc w:val="center"/>
    </w:pPr>
    <w:rPr>
      <w:rFonts w:ascii="Arial" w:cs="Arial" w:eastAsia="Arial" w:hAnsi="Arial"/>
      <w:i/>
      <w:iCs/>
      <w:color w:val="666666"/>
      <w:sz w:val="24"/>
      <w:szCs w:val="24"/>
    </w:rPr>
  </w:style>
  <w:style w:type="paragraph" w:styleId="Callout">
    <w:name w:val="Callout"/>
    <w:basedOn w:val="Normal"/>
    <w:pPr>
      <w:spacing w:before="150" w:after="150"/>
      <w:ind w:left="720" w:right="720"/>
    </w:pPr>
    <w:rPr>
      <w:rFonts w:ascii="Arial" w:cs="Arial" w:eastAsia="Arial" w:hAnsi="Arial"/>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2025-11-27T11:24:10.375Z</dcterms:created>
  <dcterms:modified xsi:type="dcterms:W3CDTF">2025-11-27T11:24:10.376Z</dcterms:modified>
</cp:coreProperties>
</file>

<file path=docProps/custom.xml><?xml version="1.0" encoding="utf-8"?>
<Properties xmlns="http://schemas.openxmlformats.org/officeDocument/2006/custom-properties" xmlns:vt="http://schemas.openxmlformats.org/officeDocument/2006/docPropsVTypes"/>
</file>