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Fable 5, Claude 4.5 Haiku), OpenAI (GPT-5.6 Luna, GPT-5.6 Terra, GPT-5.6 Sol [reasoning]), Google (Gemini 3.7 Flash, Gemini 3.1 Pro), and xAI (Grok 4.6). The study comprised three sequential phases across five pediatric clinical vignettes totaling 1,324 generation traces (over 2,100 conversational turns):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and (3) a multi-condition and cross-lab</w:t>
      </w:r>
      <w:r>
        <w:t xml:space="preserve"> </w:t>
      </w:r>
      <m:oMath>
        <m:sSup>
          <m:e>
            <m:r>
              <m:t>2</m:t>
            </m:r>
          </m:e>
          <m:sup>
            <m:r>
              <m:t>3</m:t>
            </m:r>
          </m:sup>
        </m:sSup>
      </m:oMath>
      <w:r>
        <w:t xml:space="preserve"> </w:t>
      </w:r>
      <w:r>
        <w:t xml:space="preserve">factorial component ablation (</w:t>
      </w:r>
      <m:oMath>
        <m:r>
          <m:t>N</m:t>
        </m:r>
        <m:r>
          <m:rPr>
            <m:sty m:val="p"/>
          </m:rPr>
          <m:t>=</m:t>
        </m:r>
        <m:r>
          <m:t>312</m:t>
        </m:r>
      </m:oMath>
      <w:r>
        <w:t xml:space="preserve"> </w:t>
      </w:r>
      <w:r>
        <w:t xml:space="preserve">total traces) evaluating all 8 combinations of Query (A), Epistemic Brake (B), and Branching Authorization (C) across head trauma (</w:t>
      </w:r>
      <m:oMath>
        <m:r>
          <m:t>N</m:t>
        </m:r>
        <m:r>
          <m:rPr>
            <m:sty m:val="p"/>
          </m:rPr>
          <m:t>=</m:t>
        </m:r>
        <m:r>
          <m:t>72</m:t>
        </m:r>
      </m:oMath>
      <w:r>
        <w:t xml:space="preserve"> </w:t>
      </w:r>
      <w:r>
        <w:t xml:space="preserve">Claude,</w:t>
      </w:r>
      <w:r>
        <w:t xml:space="preserve"> </w:t>
      </w:r>
      <m:oMath>
        <m:r>
          <m:t>N</m:t>
        </m:r>
        <m:r>
          <m:rPr>
            <m:sty m:val="p"/>
          </m:rPr>
          <m:t>=</m:t>
        </m:r>
        <m:r>
          <m:t>48</m:t>
        </m:r>
      </m:oMath>
      <w:r>
        <w:t xml:space="preserve"> </w:t>
      </w:r>
      <w:r>
        <w:t xml:space="preserve">OpenAI/Google frontier,</w:t>
      </w:r>
      <w:r>
        <w:t xml:space="preserve"> </w:t>
      </w:r>
      <m:oMath>
        <m:r>
          <m:t>N</m:t>
        </m:r>
        <m:r>
          <m:rPr>
            <m:sty m:val="p"/>
          </m:rPr>
          <m:t>=</m:t>
        </m:r>
        <m:r>
          <m:t>48</m:t>
        </m:r>
      </m:oMath>
      <w:r>
        <w:t xml:space="preserve"> </w:t>
      </w:r>
      <w:r>
        <w:t xml:space="preserve">OpenAI/Google compact) and otitis media (</w:t>
      </w:r>
      <m:oMath>
        <m:r>
          <m:t>N</m:t>
        </m:r>
        <m:r>
          <m:rPr>
            <m:sty m:val="p"/>
          </m:rPr>
          <m:t>=</m:t>
        </m:r>
        <m:r>
          <m:t>96</m:t>
        </m:r>
      </m:oMath>
      <w:r>
        <w:t xml:space="preserve"> </w:t>
      </w:r>
      <w:r>
        <w:t xml:space="preserve">Claude,</w:t>
      </w:r>
      <w:r>
        <w:t xml:space="preserve"> </w:t>
      </w:r>
      <m:oMath>
        <m:r>
          <m:t>N</m:t>
        </m:r>
        <m:r>
          <m:rPr>
            <m:sty m:val="p"/>
          </m:rPr>
          <m:t>=</m:t>
        </m:r>
        <m:r>
          <m:t>48</m:t>
        </m:r>
      </m:oMath>
      <w:r>
        <w:t xml:space="preserve"> </w:t>
      </w:r>
      <w:r>
        <w:t xml:space="preserve">cross-lab).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4/6, 66.7%), while remaining unobserved at baseline across pneumonia, UTI, and febrile seizure among frontier models (0/27 each). Scaling test-time reasoning compute (GPT-5.6 Sol, Claude Fable 5) did not prevent head trauma confabulation. In the</w:t>
      </w:r>
      <w:r>
        <w:t xml:space="preserve"> </w:t>
      </w:r>
      <m:oMath>
        <m:sSup>
          <m:e>
            <m:r>
              <m:t>2</m:t>
            </m:r>
          </m:e>
          <m:sup>
            <m:r>
              <m:t>3</m:t>
            </m:r>
          </m:sup>
        </m:sSup>
      </m:oMath>
      <w:r>
        <w:t xml:space="preserve"> </w:t>
      </w:r>
      <w:r>
        <w:t xml:space="preserve">factorial component ablation across minor head trauma (</w:t>
      </w:r>
      <m:oMath>
        <m:r>
          <m:t>N</m:t>
        </m:r>
        <m:r>
          <m:rPr>
            <m:sty m:val="p"/>
          </m:rPr>
          <m:t>=</m:t>
        </m:r>
        <m:r>
          <m:t>72</m:t>
        </m:r>
      </m:oMath>
      <w:r>
        <w:t xml:space="preserve">), querying missing information alone induced confabulation in Claude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In cross-lab factorial testing (</w:t>
      </w:r>
      <m:oMath>
        <m:r>
          <m:t>N</m:t>
        </m:r>
        <m:r>
          <m:rPr>
            <m:sty m:val="p"/>
          </m:rPr>
          <m:t>=</m:t>
        </m:r>
        <m:r>
          <m:t>144</m:t>
        </m:r>
      </m:oMath>
      <w:r>
        <w:t xml:space="preserve">), OpenAI and Google models exhibited</w:t>
      </w:r>
      <w:r>
        <w:t xml:space="preserve"> </w:t>
      </w:r>
      <w:r>
        <w:rPr>
          <w:b/>
          <w:bCs/>
        </w:rPr>
        <w:t xml:space="preserve">narrative silent omission</w:t>
      </w:r>
      <w:r>
        <w:t xml:space="preserve"> </w:t>
      </w:r>
      <w:r>
        <w:t xml:space="preserve">at baseline (gliding past unstated LOC without evaluation), whereas compact models (GPT-5.6 Luna and Gemini 3.7 Flash) handled missing-data queries cleanly without prompt-induced confabulation (0/6, 0.0%). Across all 7 models evaluated in the cross-lab factorial, Brake + Branching achieved</w:t>
      </w:r>
      <w:r>
        <w:t xml:space="preserve"> </w:t>
      </w:r>
      <w:r>
        <w:rPr>
          <w:b/>
          <w:bCs/>
        </w:rPr>
        <w:t xml:space="preserve">0 / 36 (0.0%)</w:t>
      </w:r>
      <w:r>
        <w:t xml:space="preserve"> </w:t>
      </w:r>
      <w:r>
        <w:t xml:space="preserve">confabulations with 100% active conditional branching. In the AOM</w:t>
      </w:r>
      <w:r>
        <w:t xml:space="preserve"> </w:t>
      </w:r>
      <m:oMath>
        <m:sSup>
          <m:e>
            <m:r>
              <m:t>2</m:t>
            </m:r>
          </m:e>
          <m:sup>
            <m:r>
              <m:t>3</m:t>
            </m:r>
          </m:sup>
        </m:sSup>
      </m:oMath>
      <w:r>
        <w:t xml:space="preserve"> </w:t>
      </w:r>
      <w:r>
        <w:t xml:space="preserve">factorial (</w:t>
      </w:r>
      <m:oMath>
        <m:r>
          <m:t>N</m:t>
        </m:r>
        <m:r>
          <m:rPr>
            <m:sty m:val="p"/>
          </m:rPr>
          <m:t>=</m:t>
        </m:r>
        <m:r>
          <m:t>96</m:t>
        </m:r>
      </m:oMath>
      <w:r>
        <w:t xml:space="preserve">), Brake + Branching replicated 0/9 (0.0%) confabulation across frontier tiers, while exposing severe</w:t>
      </w:r>
      <w:r>
        <w:t xml:space="preserve"> </w:t>
      </w:r>
      <w:r>
        <w:rPr>
          <w:b/>
          <w:bCs/>
        </w:rPr>
        <w:t xml:space="preserve">parametric literature decay</w:t>
      </w:r>
      <w:r>
        <w:t xml:space="preserve"> </w:t>
      </w:r>
      <w:r>
        <w:t xml:space="preserve">in Haiku (17/24, 70.8% prescribing obsolete pre-2004 45 mg/kg/day amoxicillin with an arithmetic cognitive dissonance). Finally, the upfront</w:t>
      </w:r>
      <w:r>
        <w:t xml:space="preserve"> </w:t>
      </w:r>
      <w:r>
        <w:rPr>
          <w:b/>
          <w:bCs/>
        </w:rPr>
        <w:t xml:space="preserve">Compound Contingency Directive</w:t>
      </w:r>
      <w:r>
        <w:t xml:space="preserve"> </w:t>
      </w:r>
      <w:r>
        <w:t xml:space="preserve">resolved the residual across all nine frontier models (0/27, 95% CI 0.0%–12.8%; Anthropic flagships: 4/6 [66.7%] to 0/6 [0.0%],</w:t>
      </w:r>
      <w:r>
        <w:t xml:space="preserve"> </w:t>
      </w:r>
      <m:oMath>
        <m:r>
          <m:t>p</m:t>
        </m:r>
        <m:r>
          <m:rPr>
            <m:sty m:val="p"/>
          </m:rPr>
          <m:t>=</m:t>
        </m:r>
        <m:r>
          <m:t>0.024</m:t>
        </m:r>
      </m:oMath>
      <w:r>
        <w:t xml:space="preserve">, two-sided Fisher’s exact test). The intervention incurred a +46.3% token expansion (mean 966 to 1,413 tokens).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Claude models fail through boolean checklist confabulation, whereas OpenAI and Google models fail through narrative silent omission. When clinical records are incomplete, single-turn declarative AI orders create unmonitored patient safety risks. Clinical decision support architectures should evaluate structured contingency branching (Brake +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distilled edge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4"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distilled edge model: Claude 3.5 Sonnet,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2 / 3 (66.7%)</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0 / 3 (0.0%)</w:t>
            </w:r>
          </w:p>
        </w:tc>
        <w:tc>
          <w:tcPr/>
          <w:p>
            <w:pPr>
              <w:pStyle w:val="Compact"/>
              <w:jc w:val="center"/>
            </w:pPr>
            <w:r>
              <w:t xml:space="preserve">3 / 3 (100.0%)</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0 / 3 (0.0%)</w:t>
            </w:r>
          </w:p>
        </w:tc>
        <w:tc>
          <w:tcPr/>
          <w:p>
            <w:pPr>
              <w:pStyle w:val="Compact"/>
              <w:jc w:val="center"/>
            </w:pPr>
            <w:r>
              <w:t xml:space="preserve">2 / 3 (66.7%)</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rPr>
                <w:b/>
                <w:bCs/>
              </w:rPr>
              <w:t xml:space="preserve">0 / 3 (0.0%)</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Distilled Models:</w:t>
      </w:r>
      <w:r>
        <w:t xml:space="preserve"> </w:t>
      </w:r>
      <w:r>
        <w:t xml:space="preserve">Telling the model to query missing information (Clause A) was not only insufficient for flagships (Cell 2: Sonnet 2/3, Opus 1/3), but actively induced confabulation in the distilled model.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f2890697cb4292d276873194caf6631c0a8e8ad"/>
    <w:p>
      <w:pPr>
        <w:pStyle w:val="Heading3"/>
      </w:pPr>
      <w:r>
        <w:t xml:space="preserve">3.5.1 Cross-Condition Replication: Full</w:t>
      </w:r>
      <w:r>
        <w:t xml:space="preserve"> </w:t>
      </w:r>
      <m:oMath>
        <m:sSup>
          <m:e>
            <m:r>
              <m:t>2</m:t>
            </m:r>
          </m:e>
          <m:sup>
            <m:r>
              <m:t>3</m:t>
            </m:r>
          </m:sup>
        </m:sSup>
      </m:oMath>
      <w:r>
        <w:t xml:space="preserve"> </w:t>
      </w:r>
      <w:r>
        <w:t xml:space="preserve">Factorial on Acute Otitis Media (</w:t>
      </w:r>
      <m:oMath>
        <m:r>
          <m:t>N</m:t>
        </m:r>
        <m:r>
          <m:rPr>
            <m:sty m:val="p"/>
          </m:rPr>
          <m:t>=</m:t>
        </m:r>
        <m:r>
          <m:t>96</m:t>
        </m:r>
      </m:oMath>
      <w:r>
        <w:t xml:space="preserve"> </w:t>
      </w:r>
      <w:r>
        <w:t xml:space="preserve">Traces)</w:t>
      </w:r>
    </w:p>
    <w:p>
      <w:pPr>
        <w:pStyle w:val="FirstParagraph"/>
      </w:pPr>
      <w:r>
        <w:t xml:space="preserve">To confirm whether the component hierarchy replicates across clinical domains, we evaluated the complete 8-cell</w:t>
      </w:r>
      <w:r>
        <w:t xml:space="preserve"> </w:t>
      </w:r>
      <m:oMath>
        <m:sSup>
          <m:e>
            <m:r>
              <m:t>2</m:t>
            </m:r>
          </m:e>
          <m:sup>
            <m:r>
              <m:t>3</m:t>
            </m:r>
          </m:sup>
        </m:sSup>
      </m:oMath>
      <w:r>
        <w:t xml:space="preserve"> </w:t>
      </w:r>
      <w:r>
        <w:t xml:space="preserve">factorial on Acute Otitis Media (</w:t>
      </w:r>
      <w:r>
        <w:rPr>
          <w:rStyle w:val="VerbatimChar"/>
        </w:rPr>
        <w:t xml:space="preserve">aom_24mo</w:t>
      </w:r>
      <w:r>
        <w:t xml:space="preserve">) across all four Claude models (</w:t>
      </w:r>
      <w:r>
        <w:rPr>
          <w:b/>
          <w:bCs/>
        </w:rPr>
        <w:t xml:space="preserve">Haiku 4.5, Sonnet 5, Fable 5, Opus 5</w:t>
      </w:r>
      <w:r>
        <w:t xml:space="preserve">; 8 cells</w:t>
      </w:r>
      <w:r>
        <w:t xml:space="preserve"> </w:t>
      </w:r>
      <m:oMath>
        <m:r>
          <m:rPr>
            <m:sty m:val="p"/>
          </m:rPr>
          <m:t>×</m:t>
        </m:r>
      </m:oMath>
      <w:r>
        <w:t xml:space="preserve"> </w:t>
      </w:r>
      <w:r>
        <w:t xml:space="preserve">4 models</w:t>
      </w:r>
      <w:r>
        <w:t xml:space="preserve"> </w:t>
      </w:r>
      <m:oMath>
        <m:r>
          <m:rPr>
            <m:sty m:val="p"/>
          </m:rPr>
          <m:t>×</m:t>
        </m:r>
      </m:oMath>
      <w:r>
        <w:t xml:space="preserve"> </w:t>
      </w:r>
      <w:r>
        <w:t xml:space="preserve">3 replicates =</w:t>
      </w:r>
      <w:r>
        <w:t xml:space="preserve"> </w:t>
      </w:r>
      <w:r>
        <w:rPr>
          <w:b/>
          <w:bCs/>
        </w:rPr>
        <w:t xml:space="preserve">96 traces</w:t>
      </w:r>
      <w:r>
        <w:t xml:space="preserve">):</w:t>
      </w:r>
      <w:r>
        <w:t xml:space="preserve"> </w:t>
      </w:r>
      <w:r>
        <w:t xml:space="preserve">-</w:t>
      </w:r>
      <w:r>
        <w:t xml:space="preserve"> </w:t>
      </w:r>
      <w:r>
        <w:rPr>
          <w:b/>
          <w:bCs/>
        </w:rPr>
        <w:t xml:space="preserve">Frontier Curative Extinction (Cell 7):</w:t>
      </w:r>
      <w:r>
        <w:t xml:space="preserve"> </w:t>
      </w:r>
      <w:r>
        <w:t xml:space="preserve">Across the three frontier models (Sonnet, Fable, Opus), Cell 7 (Brake + Branching) achieved</w:t>
      </w:r>
      <w:r>
        <w:t xml:space="preserve"> </w:t>
      </w:r>
      <w:r>
        <w:rPr>
          <w:b/>
          <w:bCs/>
        </w:rPr>
        <w:t xml:space="preserve">0 / 9 (0.0%)</w:t>
      </w:r>
      <w:r>
        <w:t xml:space="preserve"> </w:t>
      </w:r>
      <w:r>
        <w:t xml:space="preserve">confabulations, completely eliminating fabricated past-30d antibiotic status and generating 100% explicit conditional antibiotic pathways.</w:t>
      </w:r>
      <w:r>
        <w:t xml:space="preserve"> </w:t>
      </w:r>
      <w:r>
        <w:t xml:space="preserve">-</w:t>
      </w:r>
      <w:r>
        <w:t xml:space="preserve"> </w:t>
      </w:r>
      <w:r>
        <w:rPr>
          <w:b/>
          <w:bCs/>
        </w:rPr>
        <w:t xml:space="preserve">Parametric Literature Decay in Compact Architecture:</w:t>
      </w:r>
      <w:r>
        <w:t xml:space="preserve"> </w:t>
      </w:r>
      <w:r>
        <w:t xml:space="preserve">In Haiku 4.5,</w:t>
      </w:r>
      <w:r>
        <w:t xml:space="preserve"> </w:t>
      </w:r>
      <w:r>
        <w:rPr>
          <w:b/>
          <w:bCs/>
        </w:rPr>
        <w:t xml:space="preserve">17 of 24 traces (70.8%)</w:t>
      </w:r>
      <w:r>
        <w:t xml:space="preserve"> </w:t>
      </w:r>
      <w:r>
        <w:t xml:space="preserve">prescribed obsolete pre-2004 45 mg/kg/day amoxicillin, compared to</w:t>
      </w:r>
      <w:r>
        <w:t xml:space="preserve"> </w:t>
      </w:r>
      <w:r>
        <w:rPr>
          <w:b/>
          <w:bCs/>
        </w:rPr>
        <w:t xml:space="preserve">0 of 72 traces (0.0%)</w:t>
      </w:r>
      <w:r>
        <w:t xml:space="preserve"> </w:t>
      </w:r>
      <w:r>
        <w:t xml:space="preserve">in frontier models (which universally prescribed 80–90 mg/kg/day).</w:t>
      </w:r>
      <w:r>
        <w:t xml:space="preserve"> </w:t>
      </w:r>
      <w:r>
        <w:t xml:space="preserve">-</w:t>
      </w:r>
      <w:r>
        <w:t xml:space="preserve"> </w:t>
      </w:r>
      <w:r>
        <w:rPr>
          <w:b/>
          <w:bCs/>
        </w:rPr>
        <w:t xml:space="preserve">Cognitive Arithmetic Split-Brain:</w:t>
      </w:r>
      <w:r>
        <w:t xml:space="preserve"> </w:t>
      </w:r>
      <w:r>
        <w:t xml:space="preserve">In multiple traces, Haiku exhibited internal token dissonance: it wrote</w:t>
      </w:r>
      <w:r>
        <w:t xml:space="preserve"> </w:t>
      </w:r>
      <w:r>
        <w:rPr>
          <w:i/>
          <w:iCs/>
        </w:rPr>
        <w:t xml:space="preserve">“Dose: 45 mg/kg/day divided BID (approximately 560 mg BID for this 12.4 kg child)”</w:t>
      </w:r>
      <w:r>
        <w:t xml:space="preserve">. In arithmetic calculation,</w:t>
      </w:r>
      <w:r>
        <w:t xml:space="preserve"> </w:t>
      </w:r>
      <m:oMath>
        <m:r>
          <m:t>560</m:t>
        </m:r>
        <m:r>
          <m:rPr>
            <m:nor/>
            <m:sty m:val="p"/>
          </m:rPr>
          <m:t> mg BID</m:t>
        </m:r>
        <m:r>
          <m:rPr>
            <m:sty m:val="p"/>
          </m:rPr>
          <m:t>=</m:t>
        </m:r>
        <m:r>
          <m:t>1</m:t>
        </m:r>
        <m:r>
          <m:rPr>
            <m:sty m:val="p"/>
          </m:rPr>
          <m:t>,</m:t>
        </m:r>
        <m:r>
          <m:t>120</m:t>
        </m:r>
        <m:r>
          <m:rPr>
            <m:nor/>
            <m:sty m:val="p"/>
          </m:rPr>
          <m:t> mg/day</m:t>
        </m:r>
        <m:r>
          <m:rPr>
            <m:sty m:val="p"/>
          </m:rPr>
          <m:t>÷</m:t>
        </m:r>
        <m:r>
          <m:t>12.4</m:t>
        </m:r>
        <m:r>
          <m:rPr>
            <m:nor/>
            <m:sty m:val="p"/>
          </m:rPr>
          <m:t> kg</m:t>
        </m:r>
        <m:r>
          <m:rPr>
            <m:sty m:val="p"/>
          </m:rPr>
          <m:t>=</m:t>
        </m:r>
        <m:r>
          <m:rPr>
            <m:sty m:val="b"/>
          </m:rPr>
          <m:t>90.3</m:t>
        </m:r>
        <m:r>
          <m:rPr>
            <m:nor/>
            <m:sty m:val="p"/>
          </m:rPr>
          <m:t> mg/kg/day</m:t>
        </m:r>
      </m:oMath>
      <w:r>
        <w:t xml:space="preserve">, demonstrating that Haiku’s token reasoning calculated current 90 mg/kg guideline dosing while its pre-2004 parametric weights emitted the obsolete</w:t>
      </w:r>
      <w:r>
        <w:t xml:space="preserve"> </w:t>
      </w:r>
      <w:r>
        <w:t xml:space="preserve">“45 mg/kg”</w:t>
      </w:r>
      <w:r>
        <w:t xml:space="preserve"> </w:t>
      </w:r>
      <w:r>
        <w:t xml:space="preserve">label.</w:t>
      </w:r>
    </w:p>
    <w:p>
      <w:r>
        <w:pict>
          <v:rect style="width:0;height:1.5pt" o:hralign="center" o:hrstd="t" o:hr="t"/>
        </w:pict>
      </w:r>
    </w:p>
    <w:bookmarkEnd w:id="29"/>
    <w:bookmarkStart w:id="30" w:name="X7c799f5ab4c683c44832457f9e288815b08cc56"/>
    <w:p>
      <w:pPr>
        <w:pStyle w:val="Heading3"/>
      </w:pPr>
      <w:r>
        <w:t xml:space="preserve">3.5.2 Cross-Lab Factorial Evaluation Across Frontier and Compact Tiers (</w:t>
      </w:r>
      <m:oMath>
        <m:r>
          <m:t>N</m:t>
        </m:r>
        <m:r>
          <m:rPr>
            <m:sty m:val="p"/>
          </m:rPr>
          <m:t>=</m:t>
        </m:r>
        <m:r>
          <m:t>144</m:t>
        </m:r>
      </m:oMath>
      <w:r>
        <w:t xml:space="preserve"> </w:t>
      </w:r>
      <w:r>
        <w:t xml:space="preserve">Traces)</w:t>
      </w:r>
    </w:p>
    <w:p>
      <w:pPr>
        <w:pStyle w:val="FirstParagraph"/>
      </w:pPr>
      <w:r>
        <w:t xml:space="preserve">To assess whether the failure mode and curative architecture generalize across commercial developers and model parameter tiers, we deployed the</w:t>
      </w:r>
      <w:r>
        <w:t xml:space="preserve"> </w:t>
      </w:r>
      <m:oMath>
        <m:sSup>
          <m:e>
            <m:r>
              <m:t>2</m:t>
            </m:r>
          </m:e>
          <m:sup>
            <m:r>
              <m:t>3</m:t>
            </m:r>
          </m:sup>
        </m:sSup>
      </m:oMath>
      <w:r>
        <w:t xml:space="preserve"> </w:t>
      </w:r>
      <w:r>
        <w:t xml:space="preserve">factorial matrix across OpenAI and Google models on both Minor Head Trauma and AOM (</w:t>
      </w:r>
      <m:oMath>
        <m:r>
          <m:t>N</m:t>
        </m:r>
        <m:r>
          <m:rPr>
            <m:sty m:val="p"/>
          </m:rPr>
          <m:t>=</m:t>
        </m:r>
        <m:r>
          <m:t>144</m:t>
        </m:r>
      </m:oMath>
      <w:r>
        <w:t xml:space="preserve"> </w:t>
      </w:r>
      <w:r>
        <w:t xml:space="preserve">traces across</w:t>
      </w:r>
      <w:r>
        <w:t xml:space="preserve"> </w:t>
      </w:r>
      <w:r>
        <w:rPr>
          <w:rStyle w:val="VerbatimChar"/>
        </w:rPr>
        <w:t xml:space="preserve">gpt-5.6-terra</w:t>
      </w:r>
      <w:r>
        <w:t xml:space="preserve">,</w:t>
      </w:r>
      <w:r>
        <w:t xml:space="preserve"> </w:t>
      </w:r>
      <w:r>
        <w:rPr>
          <w:rStyle w:val="VerbatimChar"/>
        </w:rPr>
        <w:t xml:space="preserve">gpt-5.6-luna</w:t>
      </w:r>
      <w:r>
        <w:t xml:space="preserve">,</w:t>
      </w:r>
      <w:r>
        <w:t xml:space="preserve"> </w:t>
      </w:r>
      <w:r>
        <w:rPr>
          <w:rStyle w:val="VerbatimChar"/>
        </w:rPr>
        <w:t xml:space="preserve">gemini-3.1-pro-preview</w:t>
      </w:r>
      <w:r>
        <w:t xml:space="preserve">, and</w:t>
      </w:r>
      <w:r>
        <w:t xml:space="preserve"> </w:t>
      </w:r>
      <w:r>
        <w:rPr>
          <w:rStyle w:val="VerbatimChar"/>
        </w:rPr>
        <w:t xml:space="preserve">gemini-3.7-flash</w:t>
      </w:r>
      <w:r>
        <w:t xml:space="preserve">):</w:t>
      </w:r>
      <w:r>
        <w:t xml:space="preserve"> </w:t>
      </w:r>
      <w:r>
        <w:t xml:space="preserve">1.</w:t>
      </w:r>
      <w:r>
        <w:t xml:space="preserve"> </w:t>
      </w:r>
      <w:r>
        <w:rPr>
          <w:b/>
          <w:bCs/>
        </w:rPr>
        <w:t xml:space="preserve">The Behavioral Divergence (Checklist Confabulation vs. Narrative Silent Omission):</w:t>
      </w:r>
      <w:r>
        <w:t xml:space="preserve"> </w:t>
      </w:r>
      <w:r>
        <w:t xml:space="preserve">At baseline (Cell 1), Claude models structured their assessments around explicit clinical decision rules, actively fabricating negative entries (</w:t>
      </w:r>
      <w:r>
        <w:rPr>
          <w:rStyle w:val="VerbatimChar"/>
        </w:rPr>
        <w:t xml:space="preserve">- No LOC — negative</w:t>
      </w:r>
      <w:r>
        <w:t xml:space="preserve">) to complete the table. In contrast, OpenAI and Google models generated fluid narrative prose and</w:t>
      </w:r>
      <w:r>
        <w:t xml:space="preserve"> </w:t>
      </w:r>
      <w:r>
        <w:rPr>
          <w:b/>
          <w:bCs/>
        </w:rPr>
        <w:t xml:space="preserve">glided past the unstated LOC entirely (100% Silent Omission)</w:t>
      </w:r>
      <w:r>
        <w:t xml:space="preserve">, recommending observation without auditing consciousness.</w:t>
      </w:r>
      <w:r>
        <w:t xml:space="preserve"> </w:t>
      </w:r>
      <w:r>
        <w:t xml:space="preserve">2.</w:t>
      </w:r>
      <w:r>
        <w:t xml:space="preserve"> </w:t>
      </w:r>
      <w:r>
        <w:rPr>
          <w:b/>
          <w:bCs/>
        </w:rPr>
        <w:t xml:space="preserve">Compact Model Sensitivity (The Haiku Specificity):</w:t>
      </w:r>
      <w:r>
        <w:t xml:space="preserve"> </w:t>
      </w:r>
      <w:r>
        <w:t xml:space="preserve">When evaluated under Clause A alone (Cell 2), neither</w:t>
      </w:r>
      <w:r>
        <w:t xml:space="preserve"> </w:t>
      </w:r>
      <w:r>
        <w:rPr>
          <w:rStyle w:val="VerbatimChar"/>
        </w:rPr>
        <w:t xml:space="preserve">gpt-5.6-luna</w:t>
      </w:r>
      <w:r>
        <w:t xml:space="preserve"> </w:t>
      </w:r>
      <w:r>
        <w:t xml:space="preserve">nor</w:t>
      </w:r>
      <w:r>
        <w:t xml:space="preserve"> </w:t>
      </w:r>
      <w:r>
        <w:rPr>
          <w:rStyle w:val="VerbatimChar"/>
        </w:rPr>
        <w:t xml:space="preserve">gemini-3.7-flash</w:t>
      </w:r>
      <w:r>
        <w:t xml:space="preserve"> </w:t>
      </w:r>
      <w:r>
        <w:t xml:space="preserve">exhibited Haiku’s prompt-induced confabulation reflex (0/6, 0.0%). Both compact models formulated explicit inquiries regarding fall height and LOC duration and branched conditionally, proving that prompt-induced auto-completion under open-ended queries is an Anthropic-specific checklist artifact rather than a universal property of compact models.</w:t>
      </w:r>
      <w:r>
        <w:t xml:space="preserve"> </w:t>
      </w:r>
      <w:r>
        <w:t xml:space="preserve">3.</w:t>
      </w:r>
      <w:r>
        <w:t xml:space="preserve"> </w:t>
      </w:r>
      <w:r>
        <w:rPr>
          <w:b/>
          <w:bCs/>
        </w:rPr>
        <w:t xml:space="preserve">Universal Curative Extinction under Brake + Branching (Cell 7):</w:t>
      </w:r>
      <w:r>
        <w:t xml:space="preserve"> </w:t>
      </w:r>
      <w:r>
        <w:t xml:space="preserve">Across all 7 evaluated models spanning all 3 developers and both parameter tiers, Cell 7 (Brake + Branching) achieved</w:t>
      </w:r>
      <w:r>
        <w:t xml:space="preserve"> </w:t>
      </w:r>
      <w:r>
        <w:rPr>
          <w:b/>
          <w:bCs/>
        </w:rPr>
        <w:t xml:space="preserve">0 / 36 (0.0%)</w:t>
      </w:r>
      <w:r>
        <w:t xml:space="preserve"> </w:t>
      </w:r>
      <w:r>
        <w:t xml:space="preserve">confabulations on Head Trauma and AOM, with 100% explicit conditional branching.</w:t>
      </w:r>
    </w:p>
    <w:p>
      <w:r>
        <w:pict>
          <v:rect style="width:0;height:1.5pt" o:hralign="center" o:hrstd="t" o:hr="t"/>
        </w:pict>
      </w:r>
    </w:p>
    <w:bookmarkEnd w:id="30"/>
    <w:bookmarkStart w:id="31"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31"/>
    <w:bookmarkStart w:id="33"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2"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claude-fable-5</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2"/>
    <w:bookmarkEnd w:id="33"/>
    <w:bookmarkEnd w:id="34"/>
    <w:bookmarkStart w:id="39"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5"/>
    <w:bookmarkStart w:id="36"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6"/>
    <w:bookmarkStart w:id="37"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7"/>
    <w:bookmarkStart w:id="38"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1,080 total evaluated generation traces (1,900 turns), the multi-condition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 Fourth, our</w:t>
      </w:r>
      <w:r>
        <w:t xml:space="preserve"> </w:t>
      </w:r>
      <m:oMath>
        <m:sSup>
          <m:e>
            <m:r>
              <m:t>2</m:t>
            </m:r>
          </m:e>
          <m:sup>
            <m:r>
              <m:t>3</m:t>
            </m:r>
          </m:sup>
        </m:sSup>
      </m:oMath>
      <w:r>
        <w:t xml:space="preserve"> </w:t>
      </w:r>
      <w:r>
        <w:t xml:space="preserve">factorial component ablation was evaluated on a single index scenario (</w:t>
      </w:r>
      <w:r>
        <w:rPr>
          <w:rStyle w:val="VerbatimChar"/>
        </w:rPr>
        <w:t xml:space="preserve">head_24mo</w:t>
      </w:r>
      <w:r>
        <w:t xml:space="preserve">). This vignette served as a necessary positive control because it was the only acute generalization condition where frontier models exhibited high baseline confabulation (83.3% in Anthropic flagships), whereas pneumonia, UTI, and seizure exhibited zero baseline errors. While this single-case ablation definitively isolates the causal synergy between the Epistemic Brake and Branching Authorization within this decision node, multi-condition factorial ablations across diverse medical specialties are needed to determine domain-wide generalizability.</w:t>
      </w:r>
    </w:p>
    <w:p>
      <w:r>
        <w:pict>
          <v:rect style="width:0;height:1.5pt" o:hralign="center" o:hrstd="t" o:hr="t"/>
        </w:pict>
      </w:r>
    </w:p>
    <w:bookmarkEnd w:id="38"/>
    <w:bookmarkEnd w:id="39"/>
    <w:bookmarkStart w:id="40"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40"/>
    <w:bookmarkStart w:id="41"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2026-09-07T22:18:39Z</dcterms:created>
  <dcterms:modified xsi:type="dcterms:W3CDTF">2026-09-07T22:18:39Z</dcterms:modified>
</cp:coreProperties>
</file>

<file path=docProps/custom.xml><?xml version="1.0" encoding="utf-8"?>
<Properties xmlns="http://schemas.openxmlformats.org/officeDocument/2006/custom-properties" xmlns:vt="http://schemas.openxmlformats.org/officeDocument/2006/docPropsVTypes"/>
</file>