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(4/6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66.7 pp;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 Claude Head Trauma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6: Claude AOM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Clauses A, B, and C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across the full Claude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models (</w:t>
            </w:r>
            <w:r>
              <w:rPr>
                <w:rStyle w:val="VerbatimChar"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fable-5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Cross-condition replication; 0/9 confabulation under Cell 7 in frontier tiers; parametric literature decay in Haiku (17/24 obsolete 45 mg/kg dosing)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7: Cross-Lab Frontier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frontier flagships across Head Trauma and AOM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aom_24mo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gemini-3.1-pro-preview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Behavioral divide: narrative silent omission (100%) vs. checklist confabulation; 0/12 confabulation under Cell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8: Cross-Lab Compact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compact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gemini-3.7-flash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48 unique traces</w:t>
            </w:r>
            <w:r>
              <w:t xml:space="preserve"> </w:t>
            </w:r>
            <w:r>
              <w:t xml:space="preserve">(48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inquiry handling under Clause A (0/6 confabulation); 0/6 confabulation under Cell 7; establishing Haiku specificity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8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1,324 unique traces</w:t>
            </w:r>
            <w:r>
              <w:t xml:space="preserve"> </w:t>
            </w:r>
            <w:r>
              <w:t xml:space="preserve">(2,140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multi-model, multi-condition, cross-lab empirical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3.5 Sonnet,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3"/>
        <w:gridCol w:w="733"/>
        <w:gridCol w:w="733"/>
        <w:gridCol w:w="733"/>
        <w:gridCol w:w="586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c7414e133fcada91b6d4e7b628b339823eecf2"/>
    <w:p>
      <w:pPr>
        <w:pStyle w:val="Heading2"/>
      </w:pPr>
      <w:r>
        <w:t xml:space="preserve">Section S7: Cross-Lab &amp; Cross-Condition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Replication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Factorial Traces)</w:t>
      </w:r>
    </w:p>
    <w:p>
      <w:pPr>
        <w:pStyle w:val="FirstParagraph"/>
      </w:pPr>
      <w:r>
        <w:t xml:space="preserve">Table S7 synthesizes the complete 8-cell prospective factorial component evaluation across multiple clinical domains (Head Trauma and Acute Otitis Media) and multiple developers (Anthropic, OpenAI, Google) spanning both frontier and compact architectures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total factorial traces).</w:t>
      </w:r>
    </w:p>
    <w:bookmarkStart w:id="22" w:name="Xfa7ce2d0deb52458def50303ad641abf5672d9e"/>
    <w:p>
      <w:pPr>
        <w:pStyle w:val="Heading3"/>
      </w:pPr>
      <w:r>
        <w:t xml:space="preserve">Table S7: Multi-Condition &amp; Multi-Developer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Confabulation Scoreboard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812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Compact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Across All Models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312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25.0% (3/12)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17.9% (7/39)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only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only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8.3% (1/12)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(1/6)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12.8% (5/39)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only (Branching)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15.4% (6/39)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(Query + 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7.7% (3/39)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C (Query + 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 + C (Brake + Branching)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8.3% (1/12)§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2.6% (1/39)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+ C (Full Compound)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</w:tbl>
    <w:p>
      <w:pPr>
        <w:pStyle w:val="BodyText"/>
      </w:pPr>
      <w:r>
        <w:rPr>
          <w:i/>
          <w:iCs/>
        </w:rPr>
        <w:t xml:space="preserve">*Baseline Head Trauma in Claude Frontier tiers (Sonnet 5 + Opus 5) exhibited 66.7% (4/6) confabulation.</w:t>
      </w:r>
      <w:r>
        <w:br/>
      </w:r>
      <w:r>
        <w:rPr>
          <w:i/>
          <w:iCs/>
        </w:rPr>
        <w:t xml:space="preserve">†OpenAI (Terra, Luna) and Google (Pro, Flash) exhibited 100% Silent Omission at baseline, omitting consciousness evaluation entirely.</w:t>
      </w:r>
      <w:r>
        <w:br/>
      </w:r>
      <w:r>
        <w:rPr>
          <w:i/>
          <w:iCs/>
        </w:rPr>
        <w:t xml:space="preserve">‡OpenAI and Google exhibited Narrative Default at baseline, prescribing standard amoxicillin without contingency branching for recent antibiotic use.</w:t>
      </w:r>
      <w:r>
        <w:br/>
      </w:r>
      <w:r>
        <w:rPr>
          <w:i/>
          <w:iCs/>
        </w:rPr>
        <w:t xml:space="preserve">§In AOM Cell 7, confabulation was 0/9 (0.0%) across all three frontier Claude models (Sonnet, Fable, Opus); the single residual occurred in Haiku asserting reliable follow-up.</w:t>
      </w:r>
      <w:r>
        <w:br/>
      </w:r>
      <w:r>
        <w:rPr>
          <w:i/>
          <w:iCs/>
        </w:rPr>
        <w:t xml:space="preserve">||Under Cell 7 (Brake + Branching), confabulation was 0 / 27 (0.0%) across all frontier models and 0 / 36 (0.0%) across all 7 evaluated models on Head Trauma.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2026-09-07T22:19:00Z</dcterms:created>
  <dcterms:modified xsi:type="dcterms:W3CDTF">2026-09-07T22:19:00Z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