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 prospective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w:t>
      </w:r>
      <w:r>
        <w:t xml:space="preserve">traces evaluating all 8 combinations of Query, Epistemic Brake, and Branching Authorization across flagship and edge models),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3.7 Fable)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In the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querying missing information alone induced confabulation in the distilled model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 in complex scenarios.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distilled edge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2"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distilled edge model: Claude 3.5 Sonnet,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2 / 3 (66.7%)</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3 / 3 (100.0%)</w:t>
            </w:r>
          </w:p>
        </w:tc>
        <w:tc>
          <w:tcPr/>
          <w:p>
            <w:pPr>
              <w:pStyle w:val="Compact"/>
              <w:jc w:val="center"/>
            </w:pPr>
            <w:r>
              <w:t xml:space="preserve">1 / 3 (33.3%)</w:t>
            </w:r>
          </w:p>
        </w:tc>
        <w:tc>
          <w:tcPr/>
          <w:p>
            <w:pPr>
              <w:pStyle w:val="Compact"/>
              <w:jc w:val="center"/>
            </w:pPr>
            <w:r>
              <w:t xml:space="preserve">0 / 3 (0.0%)</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2 / 3 (66.7%)</w:t>
            </w:r>
          </w:p>
        </w:tc>
        <w:tc>
          <w:tcPr/>
          <w:p>
            <w:pPr>
              <w:pStyle w:val="Compact"/>
              <w:jc w:val="center"/>
            </w:pPr>
            <w:r>
              <w:t xml:space="preserve">0 / 3 (0.0%)</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0 / 3 (0.0%)</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Distilled Models:</w:t>
      </w:r>
      <w:r>
        <w:t xml:space="preserve"> </w:t>
      </w:r>
      <w:r>
        <w:t xml:space="preserve">Telling the model to query missing information (Clause A) was not only insufficient for flagships (Cell 2: Sonnet 2/3, Opus 1/3), but actively induced confabulation in the distilled model.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29"/>
    <w:bookmarkStart w:id="31"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0"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0"/>
    <w:bookmarkEnd w:id="31"/>
    <w:bookmarkEnd w:id="32"/>
    <w:bookmarkStart w:id="37" w:name="discussion"/>
    <w:p>
      <w:pPr>
        <w:pStyle w:val="Heading2"/>
      </w:pPr>
      <w:r>
        <w:t xml:space="preserve">4. Discussion</w:t>
      </w:r>
    </w:p>
    <w:bookmarkStart w:id="33"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3"/>
    <w:bookmarkStart w:id="34"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4"/>
    <w:bookmarkStart w:id="35"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5"/>
    <w:bookmarkStart w:id="36"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1,080 total evaluated generation traces (1,900 turns), the multi-condition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 Fourth, our</w:t>
      </w:r>
      <w:r>
        <w:t xml:space="preserve"> </w:t>
      </w:r>
      <m:oMath>
        <m:sSup>
          <m:e>
            <m:r>
              <m:t>2</m:t>
            </m:r>
          </m:e>
          <m:sup>
            <m:r>
              <m:t>3</m:t>
            </m:r>
          </m:sup>
        </m:sSup>
      </m:oMath>
      <w:r>
        <w:t xml:space="preserve"> </w:t>
      </w:r>
      <w:r>
        <w:t xml:space="preserve">factorial component ablation was evaluated on a single index scenario (</w:t>
      </w:r>
      <w:r>
        <w:rPr>
          <w:rStyle w:val="VerbatimChar"/>
        </w:rPr>
        <w:t xml:space="preserve">head_24mo</w:t>
      </w:r>
      <w:r>
        <w:t xml:space="preserve">). This vignette served as a necessary positive control because it was the only acute generalization condition where frontier models exhibited high baseline confabulation (83.3% in Anthropic flagships), whereas pneumonia, UTI, and seizure exhibited zero baseline errors. While this single-case ablation definitively isolates the causal synergy between the Epistemic Brake and Branching Authorization within this decision node, multi-condition factorial ablations across diverse medical specialties are needed to determine domain-wide generalizability.</w:t>
      </w:r>
    </w:p>
    <w:p>
      <w:r>
        <w:pict>
          <v:rect style="width:0;height:1.5pt" o:hralign="center" o:hrstd="t" o:hr="t"/>
        </w:pict>
      </w:r>
    </w:p>
    <w:bookmarkEnd w:id="36"/>
    <w:bookmarkEnd w:id="37"/>
    <w:bookmarkStart w:id="38"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8"/>
    <w:bookmarkStart w:id="39"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2026-09-07T19:15:21Z</dcterms:created>
  <dcterms:modified xsi:type="dcterms:W3CDTF">2026-09-07T19:15:21Z</dcterms:modified>
</cp:coreProperties>
</file>

<file path=docProps/custom.xml><?xml version="1.0" encoding="utf-8"?>
<Properties xmlns="http://schemas.openxmlformats.org/officeDocument/2006/custom-properties" xmlns:vt="http://schemas.openxmlformats.org/officeDocument/2006/docPropsVTypes"/>
</file>