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Fable 5, Claude 4.5 Haiku), OpenAI (GPT-5.6 Luna, GPT-5.6 Terra, GPT-5.6 Sol [reasoning]), Google (Gemini 3.7 Flash, Gemini 3.1 Pro), and xAI (Grok 4.6). The study comprised three sequential phases across five pediatric clinical vignettes totaling 1,324 generation traces (over 2,100 conversational turns):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and (3) a multi-condition and cross-lab</w:t>
      </w:r>
      <w:r>
        <w:t xml:space="preserve"> </w:t>
      </w:r>
      <m:oMath>
        <m:sSup>
          <m:e>
            <m:r>
              <m:t>2</m:t>
            </m:r>
          </m:e>
          <m:sup>
            <m:r>
              <m:t>3</m:t>
            </m:r>
          </m:sup>
        </m:sSup>
      </m:oMath>
      <w:r>
        <w:t xml:space="preserve"> </w:t>
      </w:r>
      <w:r>
        <w:t xml:space="preserve">factorial component ablation (</w:t>
      </w:r>
      <m:oMath>
        <m:r>
          <m:t>N</m:t>
        </m:r>
        <m:r>
          <m:rPr>
            <m:sty m:val="p"/>
          </m:rPr>
          <m:t>=</m:t>
        </m:r>
        <m:r>
          <m:t>312</m:t>
        </m:r>
      </m:oMath>
      <w:r>
        <w:t xml:space="preserve"> </w:t>
      </w:r>
      <w:r>
        <w:t xml:space="preserve">total traces) evaluating all 8 combinations of Query (A), Epistemic Brake (B), and Branching Authorization (C) across head trauma (</w:t>
      </w:r>
      <m:oMath>
        <m:r>
          <m:t>N</m:t>
        </m:r>
        <m:r>
          <m:rPr>
            <m:sty m:val="p"/>
          </m:rPr>
          <m:t>=</m:t>
        </m:r>
        <m:r>
          <m:t>72</m:t>
        </m:r>
      </m:oMath>
      <w:r>
        <w:t xml:space="preserve"> </w:t>
      </w:r>
      <w:r>
        <w:t xml:space="preserve">Claude,</w:t>
      </w:r>
      <w:r>
        <w:t xml:space="preserve"> </w:t>
      </w:r>
      <m:oMath>
        <m:r>
          <m:t>N</m:t>
        </m:r>
        <m:r>
          <m:rPr>
            <m:sty m:val="p"/>
          </m:rPr>
          <m:t>=</m:t>
        </m:r>
        <m:r>
          <m:t>48</m:t>
        </m:r>
      </m:oMath>
      <w:r>
        <w:t xml:space="preserve"> </w:t>
      </w:r>
      <w:r>
        <w:t xml:space="preserve">OpenAI/Google frontier,</w:t>
      </w:r>
      <w:r>
        <w:t xml:space="preserve"> </w:t>
      </w:r>
      <m:oMath>
        <m:r>
          <m:t>N</m:t>
        </m:r>
        <m:r>
          <m:rPr>
            <m:sty m:val="p"/>
          </m:rPr>
          <m:t>=</m:t>
        </m:r>
        <m:r>
          <m:t>48</m:t>
        </m:r>
      </m:oMath>
      <w:r>
        <w:t xml:space="preserve"> </w:t>
      </w:r>
      <w:r>
        <w:t xml:space="preserve">OpenAI/Google compact) and otitis media (</w:t>
      </w:r>
      <m:oMath>
        <m:r>
          <m:t>N</m:t>
        </m:r>
        <m:r>
          <m:rPr>
            <m:sty m:val="p"/>
          </m:rPr>
          <m:t>=</m:t>
        </m:r>
        <m:r>
          <m:t>96</m:t>
        </m:r>
      </m:oMath>
      <w:r>
        <w:t xml:space="preserve"> </w:t>
      </w:r>
      <w:r>
        <w:t xml:space="preserve">Claude,</w:t>
      </w:r>
      <w:r>
        <w:t xml:space="preserve"> </w:t>
      </w:r>
      <m:oMath>
        <m:r>
          <m:t>N</m:t>
        </m:r>
        <m:r>
          <m:rPr>
            <m:sty m:val="p"/>
          </m:rPr>
          <m:t>=</m:t>
        </m:r>
        <m:r>
          <m:t>48</m:t>
        </m:r>
      </m:oMath>
      <w:r>
        <w:t xml:space="preserve"> </w:t>
      </w:r>
      <w:r>
        <w:t xml:space="preserve">cross-lab).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4/6, 66.7%), while remaining unobserved at baseline across febrile UTI and febrile seizure among frontier models (0/18 in Anthropic flagships; 0/36 across all frontier models), with Claude Opus assuming unstated immunization in pneumonia (3/3, overall 3/27 across non-head cases in Anthropic). Scaling test-time reasoning compute (GPT-5.6 Sol, Claude Fable 5) did not prevent head trauma confabulation. In the</w:t>
      </w:r>
      <w:r>
        <w:t xml:space="preserve"> </w:t>
      </w:r>
      <m:oMath>
        <m:sSup>
          <m:e>
            <m:r>
              <m:t>2</m:t>
            </m:r>
          </m:e>
          <m:sup>
            <m:r>
              <m:t>3</m:t>
            </m:r>
          </m:sup>
        </m:sSup>
      </m:oMath>
      <w:r>
        <w:t xml:space="preserve"> </w:t>
      </w:r>
      <w:r>
        <w:t xml:space="preserve">factorial component ablation across minor head trauma (</w:t>
      </w:r>
      <m:oMath>
        <m:r>
          <m:t>N</m:t>
        </m:r>
        <m:r>
          <m:rPr>
            <m:sty m:val="p"/>
          </m:rPr>
          <m:t>=</m:t>
        </m:r>
        <m:r>
          <m:t>72</m:t>
        </m:r>
      </m:oMath>
      <w:r>
        <w:t xml:space="preserve">), querying missing information alone induced confabulation in Claude Haiku (1/3, 33.3%), while branching alone failed in flagships (Sonnet: 3/3, 100%); however, pairing the</w:t>
      </w:r>
      <w:r>
        <w:t xml:space="preserve"> </w:t>
      </w:r>
      <w:r>
        <w:rPr>
          <w:b/>
          <w:bCs/>
        </w:rPr>
        <w:t xml:space="preserve">Epistemic Brake with Branching Authorization (B + C)</w:t>
      </w:r>
      <w:r>
        <w:t xml:space="preserve"> </w:t>
      </w:r>
      <w:r>
        <w:t xml:space="preserve">completely extinguished unknown-to-negative conversion (</w:t>
      </w:r>
      <w:r>
        <w:rPr>
          <w:b/>
          <w:bCs/>
        </w:rPr>
        <w:t xml:space="preserve">0/9, 0.0%</w:t>
      </w:r>
      <w:r>
        <w:t xml:space="preserve"> </w:t>
      </w:r>
      <w:r>
        <w:t xml:space="preserve">across Sonnet-5, Opus-5, and Haiku-4.5). In cross-lab factorial testing (</w:t>
      </w:r>
      <m:oMath>
        <m:r>
          <m:t>N</m:t>
        </m:r>
        <m:r>
          <m:rPr>
            <m:sty m:val="p"/>
          </m:rPr>
          <m:t>=</m:t>
        </m:r>
        <m:r>
          <m:t>144</m:t>
        </m:r>
      </m:oMath>
      <w:r>
        <w:t xml:space="preserve">), OpenAI and Google models exhibited</w:t>
      </w:r>
      <w:r>
        <w:t xml:space="preserve"> </w:t>
      </w:r>
      <w:r>
        <w:rPr>
          <w:b/>
          <w:bCs/>
        </w:rPr>
        <w:t xml:space="preserve">narrative silent omission</w:t>
      </w:r>
      <w:r>
        <w:t xml:space="preserve"> </w:t>
      </w:r>
      <w:r>
        <w:t xml:space="preserve">at baseline (gliding past unstated LOC without evaluation), whereas compact models (GPT-5.6 Luna and Gemini 3.7 Flash) handled missing-data queries cleanly without prompt-induced confabulation (0/6, 0.0%). Across all 7 models evaluated in the cross-lab factorial, Brake + Branching achieved</w:t>
      </w:r>
      <w:r>
        <w:t xml:space="preserve"> </w:t>
      </w:r>
      <w:r>
        <w:rPr>
          <w:b/>
          <w:bCs/>
        </w:rPr>
        <w:t xml:space="preserve">0 / 36 (0.0%)</w:t>
      </w:r>
      <w:r>
        <w:t xml:space="preserve"> </w:t>
      </w:r>
      <w:r>
        <w:t xml:space="preserve">confabulations with 100% active conditional branching. In the AOM</w:t>
      </w:r>
      <w:r>
        <w:t xml:space="preserve"> </w:t>
      </w:r>
      <m:oMath>
        <m:sSup>
          <m:e>
            <m:r>
              <m:t>2</m:t>
            </m:r>
          </m:e>
          <m:sup>
            <m:r>
              <m:t>3</m:t>
            </m:r>
          </m:sup>
        </m:sSup>
      </m:oMath>
      <w:r>
        <w:t xml:space="preserve"> </w:t>
      </w:r>
      <w:r>
        <w:t xml:space="preserve">factorial (</w:t>
      </w:r>
      <m:oMath>
        <m:r>
          <m:t>N</m:t>
        </m:r>
        <m:r>
          <m:rPr>
            <m:sty m:val="p"/>
          </m:rPr>
          <m:t>=</m:t>
        </m:r>
        <m:r>
          <m:t>96</m:t>
        </m:r>
      </m:oMath>
      <w:r>
        <w:t xml:space="preserve">), Brake + Branching replicated 0/9 (0.0%) confabulation across frontier tiers, while exposing severe</w:t>
      </w:r>
      <w:r>
        <w:t xml:space="preserve"> </w:t>
      </w:r>
      <w:r>
        <w:rPr>
          <w:b/>
          <w:bCs/>
        </w:rPr>
        <w:t xml:space="preserve">parametric literature decay</w:t>
      </w:r>
      <w:r>
        <w:t xml:space="preserve"> </w:t>
      </w:r>
      <w:r>
        <w:t xml:space="preserve">in Haiku (19/24, 79.2% prescribing obsolete pre-2004 45 mg/kg/day amoxicillin with an arithmetic disconnect). Finally, the upfront</w:t>
      </w:r>
      <w:r>
        <w:t xml:space="preserve"> </w:t>
      </w:r>
      <w:r>
        <w:rPr>
          <w:b/>
          <w:bCs/>
        </w:rPr>
        <w:t xml:space="preserve">Compound Contingency Directive</w:t>
      </w:r>
      <w:r>
        <w:t xml:space="preserve"> </w:t>
      </w:r>
      <w:r>
        <w:t xml:space="preserve">resolved the residual across all nine frontier models (0/27, 95% CI 0.0%–12.8%; Anthropic flagships: 4/6 [66.7%] to 0/6 [0.0%],</w:t>
      </w:r>
      <w:r>
        <w:t xml:space="preserve"> </w:t>
      </w:r>
      <m:oMath>
        <m:r>
          <m:t>p</m:t>
        </m:r>
        <m:r>
          <m:rPr>
            <m:sty m:val="p"/>
          </m:rPr>
          <m:t>=</m:t>
        </m:r>
        <m:r>
          <m:t>0.024</m:t>
        </m:r>
      </m:oMath>
      <w:r>
        <w:t xml:space="preserve">, two-sided Fisher’s exact test). The intervention incurred a +46.3% token expansion (mean 966 to 1,413 tokens).</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Claude models fail through boolean checklist confabulation, whereas OpenAI and Google models fail through narrative silent omission. When clinical records are incomplete, single-turn declarative AI orders create unmonitored patient safety risks. Clinical decision support architectures should evaluate structured contingency branching (Brake +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9"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6"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bookmarkStart w:id="15" w:name="X2f14714707ffe715b02971e31f6f0ad33a67c9a"/>
    <w:p>
      <w:pPr>
        <w:pStyle w:val="Heading4"/>
      </w:pPr>
      <w:r>
        <w:t xml:space="preserve">2.3.1 The</w:t>
      </w:r>
      <w:r>
        <w:t xml:space="preserve"> </w:t>
      </w:r>
      <m:oMath>
        <m:sSup>
          <m:e>
            <m:r>
              <m:t>2</m:t>
            </m:r>
          </m:e>
          <m:sup>
            <m:r>
              <m:t>3</m:t>
            </m:r>
          </m:sup>
        </m:sSup>
      </m:oMath>
      <w:r>
        <w:t xml:space="preserve"> </w:t>
      </w:r>
      <w:r>
        <w:t xml:space="preserve">Factorial Component Ablation Protocol</w:t>
      </w:r>
    </w:p>
    <w:p>
      <w:pPr>
        <w:pStyle w:val="FirstParagraph"/>
      </w:pPr>
      <w:r>
        <w:t xml:space="preserve">To isolate the individual and interactive causal contributions of each clause in the Compound Directive across model scales, we executed a complete</w:t>
      </w:r>
      <w:r>
        <w:t xml:space="preserve"> </w:t>
      </w:r>
      <m:oMath>
        <m:sSup>
          <m:e>
            <m:r>
              <m:t>2</m:t>
            </m:r>
          </m:e>
          <m:sup>
            <m:r>
              <m:t>3</m:t>
            </m:r>
          </m:sup>
        </m:sSup>
      </m:oMath>
      <w:r>
        <w:t xml:space="preserve"> </w:t>
      </w:r>
      <w:r>
        <w:t xml:space="preserve">factorial experiment on the minor head trauma vignette (</w:t>
      </w:r>
      <w:r>
        <w:rPr>
          <w:rStyle w:val="VerbatimChar"/>
        </w:rPr>
        <w:t xml:space="preserve">head_24mo</w:t>
      </w:r>
      <w:r>
        <w:t xml:space="preserve">) across three models representing frontier flagships and a distilled edge model (</w:t>
      </w:r>
      <w:r>
        <w:rPr>
          <w:rStyle w:val="VerbatimChar"/>
        </w:rPr>
        <w:t xml:space="preserve">claude-sonnet-5</w:t>
      </w:r>
      <w:r>
        <w:t xml:space="preserve">,</w:t>
      </w:r>
      <w:r>
        <w:t xml:space="preserve"> </w:t>
      </w:r>
      <w:r>
        <w:rPr>
          <w:rStyle w:val="VerbatimChar"/>
        </w:rPr>
        <w:t xml:space="preserve">claude-opus-5</w:t>
      </w:r>
      <w:r>
        <w:t xml:space="preserve">, and</w:t>
      </w:r>
      <w:r>
        <w:t xml:space="preserve"> </w:t>
      </w:r>
      <w:r>
        <w:rPr>
          <w:rStyle w:val="VerbatimChar"/>
        </w:rPr>
        <w:t xml:space="preserve">claude-haiku-4-5</w:t>
      </w:r>
      <w:r>
        <w:t xml:space="preserve">) at</w:t>
      </w:r>
      <w:r>
        <w:t xml:space="preserve"> </w:t>
      </w:r>
      <m:oMath>
        <m:r>
          <m:t>N</m:t>
        </m:r>
        <m:r>
          <m:rPr>
            <m:sty m:val="p"/>
          </m:rPr>
          <m:t>=</m:t>
        </m:r>
        <m:r>
          <m:t>3</m:t>
        </m:r>
      </m:oMath>
      <w:r>
        <w:t xml:space="preserve"> </w:t>
      </w:r>
      <w:r>
        <w:t xml:space="preserve">independent replicates per cell (</w:t>
      </w:r>
      <m:oMath>
        <m:r>
          <m:t>N</m:t>
        </m:r>
        <m:r>
          <m:rPr>
            <m:sty m:val="p"/>
          </m:rPr>
          <m:t>=</m:t>
        </m:r>
        <m:r>
          <m:t>72</m:t>
        </m:r>
      </m:oMath>
      <w:r>
        <w:t xml:space="preserve"> </w:t>
      </w:r>
      <w:r>
        <w:t xml:space="preserve">total traces). The 8 experimental cells systematically combined:</w:t>
      </w:r>
      <w:r>
        <w:t xml:space="preserve"> </w:t>
      </w:r>
      <w:r>
        <w:t xml:space="preserve">*</w:t>
      </w:r>
      <w:r>
        <w:t xml:space="preserve"> </w:t>
      </w:r>
      <w:r>
        <w:rPr>
          <w:b/>
          <w:bCs/>
        </w:rPr>
        <w:t xml:space="preserve">Clause A (Query):</w:t>
      </w:r>
      <w:r>
        <w:t xml:space="preserve"> </w:t>
      </w:r>
      <w:r>
        <w:rPr>
          <w:i/>
          <w:iCs/>
        </w:rPr>
        <w:t xml:space="preserve">“What missing information, if any, would change your plan?”</w:t>
      </w:r>
      <w:r>
        <w:t xml:space="preserve"> </w:t>
      </w:r>
      <w:r>
        <w:t xml:space="preserve">[Present vs. Absent]</w:t>
      </w:r>
      <w:r>
        <w:t xml:space="preserve"> </w:t>
      </w:r>
      <w:r>
        <w:t xml:space="preserve">*</w:t>
      </w:r>
      <w:r>
        <w:t xml:space="preserve"> </w:t>
      </w:r>
      <w:r>
        <w:rPr>
          <w:b/>
          <w:bCs/>
        </w:rPr>
        <w:t xml:space="preserve">Clause B (Epistemic Brake):</w:t>
      </w:r>
      <w:r>
        <w:t xml:space="preserve"> </w:t>
      </w:r>
      <w:r>
        <w:rPr>
          <w:i/>
          <w:iCs/>
        </w:rPr>
        <w:t xml:space="preserve">“Do not assume unstated variables are negative.”</w:t>
      </w:r>
      <w:r>
        <w:t xml:space="preserve"> </w:t>
      </w:r>
      <w:r>
        <w:t xml:space="preserve">[Present vs. Absent]</w:t>
      </w:r>
      <w:r>
        <w:t xml:space="preserve"> </w:t>
      </w:r>
      <w:r>
        <w:t xml:space="preserve">*</w:t>
      </w:r>
      <w:r>
        <w:t xml:space="preserve"> </w:t>
      </w:r>
      <w:r>
        <w:rPr>
          <w:b/>
          <w:bCs/>
        </w:rPr>
        <w:t xml:space="preserve">Clause C (Action Authorization):</w:t>
      </w:r>
      <w:r>
        <w:t xml:space="preserve"> </w:t>
      </w:r>
      <w:r>
        <w:rPr>
          <w:i/>
          <w:iCs/>
        </w:rPr>
        <w:t xml:space="preserve">“Provide conditional if/then recommendations.”</w:t>
      </w:r>
      <w:r>
        <w:t xml:space="preserve"> </w:t>
      </w:r>
      <w:r>
        <w:t xml:space="preserve">[Present vs. Absent]</w:t>
      </w:r>
    </w:p>
    <w:p>
      <w:pPr>
        <w:pStyle w:val="BodyText"/>
      </w:pPr>
      <w:r>
        <w:t xml:space="preserve">All 72 traces underwent blinded clinical adjudication to differentiate true unhedged assertions from valid conditional if/then clauses.</w:t>
      </w:r>
    </w:p>
    <w:p>
      <w:r>
        <w:pict>
          <v:rect style="width:0;height:1.5pt" o:hralign="center" o:hrstd="t" o:hr="t"/>
        </w:pict>
      </w:r>
    </w:p>
    <w:bookmarkEnd w:id="15"/>
    <w:bookmarkEnd w:id="16"/>
    <w:bookmarkStart w:id="17"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7"/>
    <w:bookmarkStart w:id="18"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8"/>
    <w:bookmarkEnd w:id="19"/>
    <w:bookmarkStart w:id="34" w:name="results"/>
    <w:p>
      <w:pPr>
        <w:pStyle w:val="Heading2"/>
      </w:pPr>
      <w:r>
        <w:t xml:space="preserve">3. Results</w:t>
      </w:r>
    </w:p>
    <w:bookmarkStart w:id="20"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20"/>
    <w:bookmarkStart w:id="22"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1"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1"/>
    <w:bookmarkEnd w:id="22"/>
    <w:bookmarkStart w:id="23"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3"/>
    <w:bookmarkStart w:id="24"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4"/>
    <w:bookmarkStart w:id="25"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p>
      <w:r>
        <w:pict>
          <v:rect style="width:0;height:1.5pt" o:hralign="center" o:hrstd="t" o:hr="t"/>
        </w:pict>
      </w:r>
    </w:p>
    <w:bookmarkEnd w:id="25"/>
    <w:bookmarkStart w:id="26" w:name="X88fec1f686bf0ac4099a66f13e559c4a2d711e4"/>
    <w:p>
      <w:pPr>
        <w:pStyle w:val="Heading3"/>
      </w:pPr>
      <w:r>
        <w:t xml:space="preserve">3.5 The</w:t>
      </w:r>
      <w:r>
        <w:t xml:space="preserve"> </w:t>
      </w:r>
      <m:oMath>
        <m:sSup>
          <m:e>
            <m:r>
              <m:t>2</m:t>
            </m:r>
          </m:e>
          <m:sup>
            <m:r>
              <m:t>3</m:t>
            </m:r>
          </m:sup>
        </m:sSup>
      </m:oMath>
      <w:r>
        <w:t xml:space="preserve"> </w:t>
      </w:r>
      <w:r>
        <w:t xml:space="preserve">Factorial Component Ablation: Disentangling Query, Brake, and Branching</w:t>
      </w:r>
    </w:p>
    <w:p>
      <w:pPr>
        <w:pStyle w:val="FirstParagraph"/>
      </w:pPr>
      <w:r>
        <w:t xml:space="preserve">To resolve whether the three clauses in the Compound Directive operate independently or synergistically across different model scales, we evaluated all eight combinations (</w:t>
      </w:r>
      <m:oMath>
        <m:sSup>
          <m:e>
            <m:r>
              <m:t>2</m:t>
            </m:r>
          </m:e>
          <m:sup>
            <m:r>
              <m:t>3</m:t>
            </m:r>
          </m:sup>
        </m:sSup>
      </m:oMath>
      <w:r>
        <w:t xml:space="preserve">) on the minor head trauma vignette across three models representing frontier flagships and a distilled edge model: Claude 3.5 Sonnet, Claude Opus 5, and Claude Haiku 4.5 (</w:t>
      </w:r>
      <m:oMath>
        <m:r>
          <m:t>N</m:t>
        </m:r>
        <m:r>
          <m:rPr>
            <m:sty m:val="p"/>
          </m:rPr>
          <m:t>=</m:t>
        </m:r>
        <m:r>
          <m:t>72</m:t>
        </m:r>
      </m:oMath>
      <w:r>
        <w:t xml:space="preserve"> </w:t>
      </w:r>
      <w:r>
        <w:t xml:space="preserve">traces; Table 3).</w:t>
      </w:r>
    </w:p>
    <w:bookmarkEnd w:id="26"/>
    <w:bookmarkStart w:id="28" w:name="X6fa06b11c444394f51cb22114bbf7cb73b50568"/>
    <w:p>
      <w:pPr>
        <w:pStyle w:val="Heading3"/>
      </w:pPr>
      <w:r>
        <w:t xml:space="preserve">Table 3:</w:t>
      </w:r>
      <w:r>
        <w:t xml:space="preserve"> </w:t>
      </w:r>
      <m:oMath>
        <m:sSup>
          <m:e>
            <m:r>
              <m:t>2</m:t>
            </m:r>
          </m:e>
          <m:sup>
            <m:r>
              <m:t>3</m:t>
            </m:r>
          </m:sup>
        </m:sSup>
      </m:oMath>
      <w:r>
        <w:t xml:space="preserve"> </w:t>
      </w:r>
      <w:r>
        <w:t xml:space="preserve">Factorial Component Ablation Scoreboard on Minor Head Trauma (</w:t>
      </w:r>
      <w:r>
        <w:rPr>
          <w:rStyle w:val="VerbatimChar"/>
        </w:rPr>
        <w:t xml:space="preserve">head_24mo</w:t>
      </w:r>
      <w:r>
        <w:t xml:space="preserve">)</w:t>
      </w:r>
    </w:p>
    <w:tbl>
      <w:tblPr>
        <w:tblStyle w:val="Table"/>
        <w:tblW w:type="pct" w:w="5000"/>
        <w:tblLayout w:type="fixed"/>
        <w:tblLook w:firstRow="1" w:lastRow="0" w:firstColumn="0" w:lastColumn="0" w:noHBand="0" w:noVBand="0" w:val="0020"/>
      </w:tblPr>
      <w:tblGrid>
        <w:gridCol w:w="900"/>
        <w:gridCol w:w="900"/>
        <w:gridCol w:w="900"/>
        <w:gridCol w:w="900"/>
        <w:gridCol w:w="720"/>
        <w:gridCol w:w="900"/>
        <w:gridCol w:w="900"/>
        <w:gridCol w:w="900"/>
        <w:gridCol w:w="900"/>
      </w:tblGrid>
      <w:tr>
        <w:trPr>
          <w:tblHeader w:val="on"/>
        </w:trPr>
        <w:tc>
          <w:tcPr/>
          <w:p>
            <w:pPr>
              <w:pStyle w:val="Compact"/>
              <w:jc w:val="center"/>
            </w:pPr>
            <w:r>
              <w:t xml:space="preserve">Cell ID</w:t>
            </w:r>
          </w:p>
        </w:tc>
        <w:tc>
          <w:tcPr/>
          <w:p>
            <w:pPr>
              <w:pStyle w:val="Compact"/>
              <w:jc w:val="center"/>
            </w:pPr>
            <w:r>
              <w:t xml:space="preserve">Clause A (Query)</w:t>
            </w:r>
          </w:p>
        </w:tc>
        <w:tc>
          <w:tcPr/>
          <w:p>
            <w:pPr>
              <w:pStyle w:val="Compact"/>
              <w:jc w:val="center"/>
            </w:pPr>
            <w:r>
              <w:t xml:space="preserve">Clause B (Brake)</w:t>
            </w:r>
          </w:p>
        </w:tc>
        <w:tc>
          <w:tcPr/>
          <w:p>
            <w:pPr>
              <w:pStyle w:val="Compact"/>
              <w:jc w:val="center"/>
            </w:pPr>
            <w:r>
              <w:t xml:space="preserve">Clause C (Branching)</w:t>
            </w:r>
          </w:p>
        </w:tc>
        <w:tc>
          <w:tcPr/>
          <w:p>
            <w:pPr>
              <w:pStyle w:val="Compact"/>
              <w:jc w:val="left"/>
            </w:pPr>
            <w:r>
              <w:t xml:space="preserve">System Prompt Configuration</w:t>
            </w:r>
          </w:p>
        </w:tc>
        <w:tc>
          <w:tcPr/>
          <w:p>
            <w:pPr>
              <w:pStyle w:val="Compact"/>
              <w:jc w:val="center"/>
            </w:pPr>
            <w:r>
              <w:t xml:space="preserve">Haiku-4.5 (</w:t>
            </w:r>
            <m:oMath>
              <m:r>
                <m:t>N</m:t>
              </m:r>
              <m:r>
                <m:rPr>
                  <m:sty m:val="p"/>
                </m:rPr>
                <m:t>=</m:t>
              </m:r>
              <m:r>
                <m:t>3</m:t>
              </m:r>
            </m:oMath>
            <w:r>
              <w:t xml:space="preserve">)</w:t>
            </w:r>
          </w:p>
        </w:tc>
        <w:tc>
          <w:tcPr/>
          <w:p>
            <w:pPr>
              <w:pStyle w:val="Compact"/>
              <w:jc w:val="center"/>
            </w:pPr>
            <w:r>
              <w:t xml:space="preserve">Sonnet-5 (</w:t>
            </w:r>
            <m:oMath>
              <m:r>
                <m:t>N</m:t>
              </m:r>
              <m:r>
                <m:rPr>
                  <m:sty m:val="p"/>
                </m:rPr>
                <m:t>=</m:t>
              </m:r>
              <m:r>
                <m:t>3</m:t>
              </m:r>
            </m:oMath>
            <w:r>
              <w:t xml:space="preserve">)</w:t>
            </w:r>
          </w:p>
        </w:tc>
        <w:tc>
          <w:tcPr/>
          <w:p>
            <w:pPr>
              <w:pStyle w:val="Compact"/>
              <w:jc w:val="center"/>
            </w:pPr>
            <w:r>
              <w:t xml:space="preserve">Opus-5 (</w:t>
            </w:r>
            <m:oMath>
              <m:r>
                <m:t>N</m:t>
              </m:r>
              <m:r>
                <m:rPr>
                  <m:sty m:val="p"/>
                </m:rPr>
                <m:t>=</m:t>
              </m:r>
              <m:r>
                <m:t>3</m:t>
              </m:r>
            </m:oMath>
            <w:r>
              <w:t xml:space="preserve">)</w:t>
            </w:r>
          </w:p>
        </w:tc>
        <w:tc>
          <w:tcPr/>
          <w:p>
            <w:pPr>
              <w:pStyle w:val="Compact"/>
              <w:jc w:val="center"/>
            </w:pPr>
            <w:r>
              <w:t xml:space="preserve">Pooled Confab Rate (</w:t>
            </w:r>
            <m:oMath>
              <m:r>
                <m:t>N</m:t>
              </m:r>
              <m:r>
                <m:rPr>
                  <m:sty m:val="p"/>
                </m:rPr>
                <m:t>=</m:t>
              </m:r>
              <m:r>
                <m:t>9</m:t>
              </m:r>
            </m:oMath>
            <w:r>
              <w:t xml:space="preserve">)</w:t>
            </w:r>
          </w:p>
        </w:tc>
      </w:tr>
      <w:tr>
        <w:tc>
          <w:tcPr/>
          <w:p>
            <w:pPr>
              <w:pStyle w:val="Compact"/>
              <w:jc w:val="center"/>
            </w:pPr>
            <w:r>
              <w:rPr>
                <w:b/>
                <w:bCs/>
              </w:rPr>
              <w:t xml:space="preserve">Cell 1</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w:t>
            </w:r>
            <w:r>
              <w:rPr>
                <w:i/>
                <w:iCs/>
              </w:rPr>
              <w:t xml:space="preserve">“You are a pediatrician in clinic.”</w:t>
            </w:r>
            <w:r>
              <w:t xml:space="preserve">)</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2 / 3 (66.7%)</w:t>
            </w:r>
          </w:p>
        </w:tc>
        <w:tc>
          <w:tcPr/>
          <w:p>
            <w:pPr>
              <w:pStyle w:val="Compact"/>
              <w:jc w:val="center"/>
            </w:pPr>
            <w:r>
              <w:rPr>
                <w:b/>
                <w:bCs/>
              </w:rPr>
              <w:t xml:space="preserve">4 / 9 (44.4%)</w:t>
            </w:r>
          </w:p>
        </w:tc>
      </w:tr>
      <w:tr>
        <w:tc>
          <w:tcPr/>
          <w:p>
            <w:pPr>
              <w:pStyle w:val="Compact"/>
              <w:jc w:val="center"/>
            </w:pPr>
            <w:r>
              <w:rPr>
                <w:b/>
                <w:bCs/>
              </w:rPr>
              <w:t xml:space="preserve">Cell 2</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 No</w:t>
            </w:r>
          </w:p>
        </w:tc>
        <w:tc>
          <w:tcPr/>
          <w:p>
            <w:pPr>
              <w:pStyle w:val="Compact"/>
              <w:jc w:val="left"/>
            </w:pPr>
            <w:r>
              <w:t xml:space="preserve">Baseline + Query (A only)</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3</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Baseline + Epistemic Brake (B only)</w:t>
            </w:r>
          </w:p>
        </w:tc>
        <w:tc>
          <w:tcPr/>
          <w:p>
            <w:pPr>
              <w:pStyle w:val="Compact"/>
              <w:jc w:val="center"/>
            </w:pPr>
            <w:r>
              <w:t xml:space="preserve">0 / 3 (0.0%)</w:t>
            </w:r>
          </w:p>
        </w:tc>
        <w:tc>
          <w:tcPr/>
          <w:p>
            <w:pPr>
              <w:pStyle w:val="Compact"/>
              <w:jc w:val="center"/>
            </w:pPr>
            <w:r>
              <w:t xml:space="preserve">2 / 3 (66.7%)</w:t>
            </w:r>
          </w:p>
        </w:tc>
        <w:tc>
          <w:tcPr/>
          <w:p>
            <w:pPr>
              <w:pStyle w:val="Compact"/>
              <w:jc w:val="center"/>
            </w:pPr>
            <w:r>
              <w:t xml:space="preserve">1 / 3 (33.3%)</w:t>
            </w:r>
          </w:p>
        </w:tc>
        <w:tc>
          <w:tcPr/>
          <w:p>
            <w:pPr>
              <w:pStyle w:val="Compact"/>
              <w:jc w:val="center"/>
            </w:pPr>
            <w:r>
              <w:rPr>
                <w:b/>
                <w:bCs/>
              </w:rPr>
              <w:t xml:space="preserve">3 / 9 (33.3%)</w:t>
            </w:r>
          </w:p>
        </w:tc>
      </w:tr>
      <w:tr>
        <w:tc>
          <w:tcPr/>
          <w:p>
            <w:pPr>
              <w:pStyle w:val="Compact"/>
              <w:jc w:val="center"/>
            </w:pPr>
            <w:r>
              <w:rPr>
                <w:b/>
                <w:bCs/>
              </w:rPr>
              <w:t xml:space="preserve">Cell 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Baseline + Branching Authorization (C only)</w:t>
            </w:r>
          </w:p>
        </w:tc>
        <w:tc>
          <w:tcPr/>
          <w:p>
            <w:pPr>
              <w:pStyle w:val="Compact"/>
              <w:jc w:val="center"/>
            </w:pPr>
            <w:r>
              <w:t xml:space="preserve">0 / 3 (0.0%)</w:t>
            </w:r>
          </w:p>
        </w:tc>
        <w:tc>
          <w:tcPr/>
          <w:p>
            <w:pPr>
              <w:pStyle w:val="Compact"/>
              <w:jc w:val="center"/>
            </w:pPr>
            <w:r>
              <w:t xml:space="preserve">3 / 3 (100.0%)</w:t>
            </w:r>
          </w:p>
        </w:tc>
        <w:tc>
          <w:tcPr/>
          <w:p>
            <w:pPr>
              <w:pStyle w:val="Compact"/>
              <w:jc w:val="center"/>
            </w:pPr>
            <w:r>
              <w:t xml:space="preserve">1 / 3 (33.3%)</w:t>
            </w:r>
          </w:p>
        </w:tc>
        <w:tc>
          <w:tcPr/>
          <w:p>
            <w:pPr>
              <w:pStyle w:val="Compact"/>
              <w:jc w:val="center"/>
            </w:pPr>
            <w:r>
              <w:rPr>
                <w:b/>
                <w:bCs/>
              </w:rPr>
              <w:t xml:space="preserve">4 / 9 (44.4%)</w:t>
            </w:r>
          </w:p>
        </w:tc>
      </w:tr>
      <w:tr>
        <w:tc>
          <w:tcPr/>
          <w:p>
            <w:pPr>
              <w:pStyle w:val="Compact"/>
              <w:jc w:val="center"/>
            </w:pPr>
            <w:r>
              <w:rPr>
                <w:b/>
                <w:bCs/>
              </w:rPr>
              <w:t xml:space="preserve">Cell 5</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left"/>
            </w:pPr>
            <w:r>
              <w:t xml:space="preserve">Query + Brake (A + B)</w:t>
            </w:r>
          </w:p>
        </w:tc>
        <w:tc>
          <w:tcPr/>
          <w:p>
            <w:pPr>
              <w:pStyle w:val="Compact"/>
              <w:jc w:val="center"/>
            </w:pPr>
            <w:r>
              <w:t xml:space="preserve">1 / 3 (33.3%)</w:t>
            </w:r>
          </w:p>
        </w:tc>
        <w:tc>
          <w:tcPr/>
          <w:p>
            <w:pPr>
              <w:pStyle w:val="Compact"/>
              <w:jc w:val="center"/>
            </w:pPr>
            <w:r>
              <w:t xml:space="preserve">2 / 3 (66.7%)</w:t>
            </w:r>
          </w:p>
        </w:tc>
        <w:tc>
          <w:tcPr/>
          <w:p>
            <w:pPr>
              <w:pStyle w:val="Compact"/>
              <w:jc w:val="center"/>
            </w:pPr>
            <w:r>
              <w:t xml:space="preserve">0 / 3 (0.0%)</w:t>
            </w:r>
          </w:p>
        </w:tc>
        <w:tc>
          <w:tcPr/>
          <w:p>
            <w:pPr>
              <w:pStyle w:val="Compact"/>
              <w:jc w:val="center"/>
            </w:pPr>
            <w:r>
              <w:rPr>
                <w:b/>
                <w:bCs/>
              </w:rPr>
              <w:t xml:space="preserve">3 / 9 (33.3%)</w:t>
            </w:r>
          </w:p>
        </w:tc>
      </w:tr>
      <w:tr>
        <w:tc>
          <w:tcPr/>
          <w:p>
            <w:pPr>
              <w:pStyle w:val="Compact"/>
              <w:jc w:val="center"/>
            </w:pPr>
            <w:r>
              <w:rPr>
                <w:b/>
                <w:bCs/>
              </w:rPr>
              <w:t xml:space="preserve">Cell 6</w:t>
            </w:r>
          </w:p>
        </w:tc>
        <w:tc>
          <w:tcPr/>
          <w:p>
            <w:pPr>
              <w:pStyle w:val="Compact"/>
              <w:jc w:val="center"/>
            </w:pPr>
            <w:r>
              <w:t xml:space="preserve">✅</w:t>
            </w:r>
            <w:r>
              <w:t xml:space="preserve"> </w:t>
            </w:r>
            <w:r>
              <w:rPr>
                <w:b/>
                <w:bCs/>
              </w:rPr>
              <w:t xml:space="preserve">Yes</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left"/>
            </w:pPr>
            <w:r>
              <w:t xml:space="preserve">Query + Branching (A + C)</w:t>
            </w:r>
          </w:p>
        </w:tc>
        <w:tc>
          <w:tcPr/>
          <w:p>
            <w:pPr>
              <w:pStyle w:val="Compact"/>
              <w:jc w:val="center"/>
            </w:pPr>
            <w:r>
              <w:t xml:space="preserve">0 / 3 (0.0%)</w:t>
            </w:r>
          </w:p>
        </w:tc>
        <w:tc>
          <w:tcPr/>
          <w:p>
            <w:pPr>
              <w:pStyle w:val="Compact"/>
              <w:jc w:val="center"/>
            </w:pPr>
            <w:r>
              <w:t xml:space="preserve">0 / 3 (0.0%)</w:t>
            </w:r>
          </w:p>
        </w:tc>
        <w:tc>
          <w:tcPr/>
          <w:p>
            <w:pPr>
              <w:pStyle w:val="Compact"/>
              <w:jc w:val="center"/>
            </w:pPr>
            <w:r>
              <w:t xml:space="preserve">2 / 3 (66.7%)</w:t>
            </w:r>
          </w:p>
        </w:tc>
        <w:tc>
          <w:tcPr/>
          <w:p>
            <w:pPr>
              <w:pStyle w:val="Compact"/>
              <w:jc w:val="center"/>
            </w:pPr>
            <w:r>
              <w:rPr>
                <w:b/>
                <w:bCs/>
              </w:rPr>
              <w:t xml:space="preserve">2 / 9 (22.2%)</w:t>
            </w:r>
          </w:p>
        </w:tc>
      </w:tr>
      <w:tr>
        <w:tc>
          <w:tcPr/>
          <w:p>
            <w:pPr>
              <w:pStyle w:val="Compact"/>
              <w:jc w:val="center"/>
            </w:pPr>
            <w:r>
              <w:rPr>
                <w:b/>
                <w:bCs/>
              </w:rPr>
              <w:t xml:space="preserve">Cell 7</w:t>
            </w:r>
          </w:p>
        </w:tc>
        <w:tc>
          <w:tcPr/>
          <w:p>
            <w:pPr>
              <w:pStyle w:val="Compact"/>
              <w:jc w:val="center"/>
            </w:pPr>
            <w:r>
              <w:t xml:space="preserve">❌ No</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Brake + Branching (B + C)</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3 (0.0%)</w:t>
            </w:r>
          </w:p>
        </w:tc>
        <w:tc>
          <w:tcPr/>
          <w:p>
            <w:pPr>
              <w:pStyle w:val="Compact"/>
              <w:jc w:val="center"/>
            </w:pPr>
            <w:r>
              <w:rPr>
                <w:b/>
                <w:bCs/>
              </w:rPr>
              <w:t xml:space="preserve">0 / 9 (0.0%)</w:t>
            </w:r>
          </w:p>
        </w:tc>
      </w:tr>
      <w:tr>
        <w:tc>
          <w:tcPr/>
          <w:p>
            <w:pPr>
              <w:pStyle w:val="Compact"/>
              <w:jc w:val="center"/>
            </w:pPr>
            <w:r>
              <w:rPr>
                <w:b/>
                <w:bCs/>
              </w:rPr>
              <w:t xml:space="preserve">Cell 8</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center"/>
            </w:pPr>
            <w:r>
              <w:t xml:space="preserve">✅</w:t>
            </w:r>
            <w:r>
              <w:t xml:space="preserve"> </w:t>
            </w:r>
            <w:r>
              <w:rPr>
                <w:b/>
                <w:bCs/>
              </w:rPr>
              <w:t xml:space="preserve">Yes</w:t>
            </w:r>
          </w:p>
        </w:tc>
        <w:tc>
          <w:tcPr/>
          <w:p>
            <w:pPr>
              <w:pStyle w:val="Compact"/>
              <w:jc w:val="left"/>
            </w:pPr>
            <w:r>
              <w:rPr>
                <w:b/>
                <w:bCs/>
              </w:rPr>
              <w:t xml:space="preserve">Full Compound Directive (A + B + C)</w:t>
            </w:r>
          </w:p>
        </w:tc>
        <w:tc>
          <w:tcPr/>
          <w:p>
            <w:pPr>
              <w:pStyle w:val="Compact"/>
              <w:jc w:val="center"/>
            </w:pPr>
            <w:r>
              <w:rPr>
                <w:b/>
                <w:bCs/>
              </w:rPr>
              <w:t xml:space="preserve">0 / 3 (0.0%)</w:t>
            </w:r>
          </w:p>
        </w:tc>
        <w:tc>
          <w:tcPr/>
          <w:p>
            <w:pPr>
              <w:pStyle w:val="Compact"/>
              <w:jc w:val="center"/>
            </w:pPr>
            <w:r>
              <w:t xml:space="preserve">1 / 3 (33.3%)*</w:t>
            </w:r>
          </w:p>
        </w:tc>
        <w:tc>
          <w:tcPr/>
          <w:p>
            <w:pPr>
              <w:pStyle w:val="Compact"/>
              <w:jc w:val="center"/>
            </w:pPr>
            <w:r>
              <w:t xml:space="preserve">1 / 3 (33.3%)*</w:t>
            </w:r>
          </w:p>
        </w:tc>
        <w:tc>
          <w:tcPr/>
          <w:p>
            <w:pPr>
              <w:pStyle w:val="Compact"/>
              <w:jc w:val="center"/>
            </w:pPr>
            <w:r>
              <w:rPr>
                <w:b/>
                <w:bCs/>
              </w:rPr>
              <w:t xml:space="preserve">2 / 9 (22.2%)</w:t>
            </w:r>
          </w:p>
        </w:tc>
      </w:tr>
    </w:tbl>
    <w:p>
      <w:pPr>
        <w:pStyle w:val="BodyText"/>
      </w:pPr>
      <w:r>
        <w:rPr>
          <w:i/>
          <w:iCs/>
        </w:rPr>
        <w:t xml:space="preserve">*Note: In Cell 8, both Sonnet and Opus formulated comprehensive if/then branching in the clinical plan body, but in 1 replicate each, included a parenthetical discharge checklist at the note footer that repeated</w:t>
      </w:r>
      <w:r>
        <w:rPr>
          <w:i/>
          <w:iCs/>
        </w:rPr>
        <w:t xml:space="preserve"> </w:t>
      </w:r>
      <w:r>
        <w:rPr>
          <w:i/>
          <w:iCs/>
        </w:rPr>
        <w:t xml:space="preserve">“- no LOC”</w:t>
      </w:r>
      <w:r>
        <w:rPr>
          <w:i/>
          <w:iCs/>
        </w:rPr>
        <w:t xml:space="preserve"> </w:t>
      </w:r>
      <w:r>
        <w:rPr>
          <w:i/>
          <w:iCs/>
        </w:rPr>
        <w:t xml:space="preserve">as an unhedged summary item. Haiku exhibited 0/3 confabulations in both Cell 7 and Cell 8.</w:t>
      </w:r>
    </w:p>
    <w:bookmarkStart w:id="27" w:name="key-factorial-findings"/>
    <w:p>
      <w:pPr>
        <w:pStyle w:val="Heading4"/>
      </w:pPr>
      <w:r>
        <w:t xml:space="preserve">Key Factorial Findings:</w:t>
      </w:r>
    </w:p>
    <w:p>
      <w:pPr>
        <w:pStyle w:val="Compact"/>
        <w:numPr>
          <w:ilvl w:val="0"/>
          <w:numId w:val="1005"/>
        </w:numPr>
      </w:pPr>
      <w:r>
        <w:rPr>
          <w:b/>
          <w:bCs/>
        </w:rPr>
        <w:t xml:space="preserve">Query Alone Prompts Hallucination in Distilled Models:</w:t>
      </w:r>
      <w:r>
        <w:t xml:space="preserve"> </w:t>
      </w:r>
      <w:r>
        <w:t xml:space="preserve">Telling the model to query missing information (Clause A) was not only insufficient for flagships (Cell 2: Sonnet 2/3, Opus 1/3), but actively induced confabulation in the distilled model. While Haiku was clean at baseline on head trauma (0/3, defaulting to CT for vomiting), adding Clause A in Cell 2 caused it to invent</w:t>
      </w:r>
      <w:r>
        <w:t xml:space="preserve"> </w:t>
      </w:r>
      <w:r>
        <w:rPr>
          <w:i/>
          <w:iCs/>
        </w:rPr>
        <w:t xml:space="preserve">“no LOC reported”</w:t>
      </w:r>
      <w:r>
        <w:t xml:space="preserve"> </w:t>
      </w:r>
      <w:r>
        <w:t xml:space="preserve">in its reassuring findings table (1/3), and adding Clause A+B in Cell 5 caused it to assert a</w:t>
      </w:r>
      <w:r>
        <w:t xml:space="preserve"> </w:t>
      </w:r>
      <w:r>
        <w:rPr>
          <w:i/>
          <w:iCs/>
        </w:rPr>
        <w:t xml:space="preserve">“witnessed fall”</w:t>
      </w:r>
      <w:r>
        <w:t xml:space="preserve"> </w:t>
      </w:r>
      <w:r>
        <w:t xml:space="preserve">(1/3). Smaller models appear compelled to answer the queries they formulate.</w:t>
      </w:r>
    </w:p>
    <w:p>
      <w:pPr>
        <w:pStyle w:val="Compact"/>
        <w:numPr>
          <w:ilvl w:val="0"/>
          <w:numId w:val="1005"/>
        </w:numPr>
      </w:pPr>
      <w:r>
        <w:rPr>
          <w:b/>
          <w:bCs/>
        </w:rPr>
        <w:t xml:space="preserve">Branching Alone Fails Without an Epistemic Brake:</w:t>
      </w:r>
      <w:r>
        <w:t xml:space="preserve"> </w:t>
      </w:r>
      <w:r>
        <w:t xml:space="preserve">Authorizing branching without prohibiting negative assumptions (Cell 4, 44.4% pooled confabulation) resulted in models assuming LOC was negative and branching on secondary considerations. In Sonnet, Cell 4 produced 100% confabulation (3/3).</w:t>
      </w:r>
    </w:p>
    <w:p>
      <w:pPr>
        <w:pStyle w:val="Compact"/>
        <w:numPr>
          <w:ilvl w:val="0"/>
          <w:numId w:val="1005"/>
        </w:numPr>
      </w:pPr>
      <w:r>
        <w:rPr>
          <w:b/>
          <w:bCs/>
        </w:rPr>
        <w:t xml:space="preserve">The Synergistic Core: Brake + Branching (Cell 7 = 0.0% Confabulation):</w:t>
      </w:r>
      <w:r>
        <w:t xml:space="preserve"> </w:t>
      </w:r>
      <w:r>
        <w:t xml:space="preserve">Pairing</w:t>
      </w:r>
      <w:r>
        <w:t xml:space="preserve"> </w:t>
      </w:r>
      <w:r>
        <w:rPr>
          <w:b/>
          <w:bCs/>
        </w:rPr>
        <w:t xml:space="preserve">Clause B (Epistemic Brake:</w:t>
      </w:r>
      <w:r>
        <w:rPr>
          <w:b/>
          <w:bCs/>
        </w:rPr>
        <w:t xml:space="preserve"> </w:t>
      </w:r>
      <w:r>
        <w:rPr>
          <w:b/>
          <w:bCs/>
          <w:i/>
          <w:iCs/>
        </w:rPr>
        <w:t xml:space="preserve">“Do not assume unstated variables are negative”</w:t>
      </w:r>
      <w:r>
        <w:rPr>
          <w:b/>
          <w:bCs/>
        </w:rPr>
        <w:t xml:space="preserve">)</w:t>
      </w:r>
      <w:r>
        <w:t xml:space="preserve"> </w:t>
      </w:r>
      <w:r>
        <w:t xml:space="preserve">with</w:t>
      </w:r>
      <w:r>
        <w:t xml:space="preserve"> </w:t>
      </w:r>
      <w:r>
        <w:rPr>
          <w:b/>
          <w:bCs/>
        </w:rPr>
        <w:t xml:space="preserve">Clause C (Action Authorization:</w:t>
      </w:r>
      <w:r>
        <w:rPr>
          <w:b/>
          <w:bCs/>
        </w:rPr>
        <w:t xml:space="preserve"> </w:t>
      </w:r>
      <w:r>
        <w:rPr>
          <w:b/>
          <w:bCs/>
          <w:i/>
          <w:iCs/>
        </w:rPr>
        <w:t xml:space="preserve">“Provide conditional if/then recommendations”</w:t>
      </w:r>
      <w:r>
        <w:rPr>
          <w:b/>
          <w:bCs/>
        </w:rPr>
        <w:t xml:space="preserve">)</w:t>
      </w:r>
      <w:r>
        <w:t xml:space="preserve"> </w:t>
      </w:r>
      <w:r>
        <w:t xml:space="preserve">completely eliminated unknown-to-negative conversion (</w:t>
      </w:r>
      <w:r>
        <w:rPr>
          <w:b/>
          <w:bCs/>
        </w:rPr>
        <w:t xml:space="preserve">0/9, 0.0%</w:t>
      </w:r>
      <w:r>
        <w:t xml:space="preserve">) across Sonnet, Opus, and Haiku. Epistemic restraint requires a valid structural outlet: models only cease fabricating checklist variables when they are simultaneously provided an authorized path for clinical decisiveness through conditional branching.</w:t>
      </w:r>
    </w:p>
    <w:p>
      <w:pPr>
        <w:pStyle w:val="Compact"/>
        <w:numPr>
          <w:ilvl w:val="0"/>
          <w:numId w:val="1005"/>
        </w:numPr>
      </w:pPr>
      <w:r>
        <w:rPr>
          <w:b/>
          <w:bCs/>
        </w:rPr>
        <w:t xml:space="preserve">The Redundancy and Risk of Clause A:</w:t>
      </w:r>
      <w:r>
        <w:t xml:space="preserve"> </w:t>
      </w:r>
      <w:r>
        <w:t xml:space="preserve">Full compound prompting (Cell 8: A + B + C) achieved 0/3 in Haiku, but exhibited a 2/9 (22.2%) residual across flagships due to summary footer checklists. Clause B + Clause C represents the optimal, minimal effective dose.</w:t>
      </w:r>
    </w:p>
    <w:p>
      <w:r>
        <w:pict>
          <v:rect style="width:0;height:1.5pt" o:hralign="center" o:hrstd="t" o:hr="t"/>
        </w:pict>
      </w:r>
    </w:p>
    <w:bookmarkEnd w:id="27"/>
    <w:bookmarkEnd w:id="28"/>
    <w:bookmarkStart w:id="29" w:name="Xf2890697cb4292d276873194caf6631c0a8e8ad"/>
    <w:p>
      <w:pPr>
        <w:pStyle w:val="Heading3"/>
      </w:pPr>
      <w:r>
        <w:t xml:space="preserve">3.5.1 Cross-Condition Replication: Full</w:t>
      </w:r>
      <w:r>
        <w:t xml:space="preserve"> </w:t>
      </w:r>
      <m:oMath>
        <m:sSup>
          <m:e>
            <m:r>
              <m:t>2</m:t>
            </m:r>
          </m:e>
          <m:sup>
            <m:r>
              <m:t>3</m:t>
            </m:r>
          </m:sup>
        </m:sSup>
      </m:oMath>
      <w:r>
        <w:t xml:space="preserve"> </w:t>
      </w:r>
      <w:r>
        <w:t xml:space="preserve">Factorial on Acute Otitis Media (</w:t>
      </w:r>
      <m:oMath>
        <m:r>
          <m:t>N</m:t>
        </m:r>
        <m:r>
          <m:rPr>
            <m:sty m:val="p"/>
          </m:rPr>
          <m:t>=</m:t>
        </m:r>
        <m:r>
          <m:t>96</m:t>
        </m:r>
      </m:oMath>
      <w:r>
        <w:t xml:space="preserve"> </w:t>
      </w:r>
      <w:r>
        <w:t xml:space="preserve">Traces)</w:t>
      </w:r>
    </w:p>
    <w:p>
      <w:pPr>
        <w:pStyle w:val="FirstParagraph"/>
      </w:pPr>
      <w:r>
        <w:t xml:space="preserve">To confirm whether the component hierarchy replicates across clinical domains, we evaluated the complete 8-cell</w:t>
      </w:r>
      <w:r>
        <w:t xml:space="preserve"> </w:t>
      </w:r>
      <m:oMath>
        <m:sSup>
          <m:e>
            <m:r>
              <m:t>2</m:t>
            </m:r>
          </m:e>
          <m:sup>
            <m:r>
              <m:t>3</m:t>
            </m:r>
          </m:sup>
        </m:sSup>
      </m:oMath>
      <w:r>
        <w:t xml:space="preserve"> </w:t>
      </w:r>
      <w:r>
        <w:t xml:space="preserve">factorial on Acute Otitis Media (</w:t>
      </w:r>
      <w:r>
        <w:rPr>
          <w:rStyle w:val="VerbatimChar"/>
        </w:rPr>
        <w:t xml:space="preserve">aom_24mo</w:t>
      </w:r>
      <w:r>
        <w:t xml:space="preserve">) across all four Claude models (</w:t>
      </w:r>
      <w:r>
        <w:rPr>
          <w:b/>
          <w:bCs/>
        </w:rPr>
        <w:t xml:space="preserve">Haiku 4.5, Sonnet 5, Fable 5, Opus 5</w:t>
      </w:r>
      <w:r>
        <w:t xml:space="preserve">; 8 cells</w:t>
      </w:r>
      <w:r>
        <w:t xml:space="preserve"> </w:t>
      </w:r>
      <m:oMath>
        <m:r>
          <m:rPr>
            <m:sty m:val="p"/>
          </m:rPr>
          <m:t>×</m:t>
        </m:r>
      </m:oMath>
      <w:r>
        <w:t xml:space="preserve"> </w:t>
      </w:r>
      <w:r>
        <w:t xml:space="preserve">4 models</w:t>
      </w:r>
      <w:r>
        <w:t xml:space="preserve"> </w:t>
      </w:r>
      <m:oMath>
        <m:r>
          <m:rPr>
            <m:sty m:val="p"/>
          </m:rPr>
          <m:t>×</m:t>
        </m:r>
      </m:oMath>
      <w:r>
        <w:t xml:space="preserve"> </w:t>
      </w:r>
      <w:r>
        <w:t xml:space="preserve">3 replicates =</w:t>
      </w:r>
      <w:r>
        <w:t xml:space="preserve"> </w:t>
      </w:r>
      <w:r>
        <w:rPr>
          <w:b/>
          <w:bCs/>
        </w:rPr>
        <w:t xml:space="preserve">96 traces</w:t>
      </w:r>
      <w:r>
        <w:t xml:space="preserve">):</w:t>
      </w:r>
      <w:r>
        <w:t xml:space="preserve"> </w:t>
      </w:r>
      <w:r>
        <w:t xml:space="preserve">-</w:t>
      </w:r>
      <w:r>
        <w:t xml:space="preserve"> </w:t>
      </w:r>
      <w:r>
        <w:rPr>
          <w:b/>
          <w:bCs/>
        </w:rPr>
        <w:t xml:space="preserve">Frontier Curative Extinction (Cell 7):</w:t>
      </w:r>
      <w:r>
        <w:t xml:space="preserve"> </w:t>
      </w:r>
      <w:r>
        <w:t xml:space="preserve">Across the three frontier models (Sonnet, Fable, Opus), Cell 7 (Brake + Branching) achieved</w:t>
      </w:r>
      <w:r>
        <w:t xml:space="preserve"> </w:t>
      </w:r>
      <w:r>
        <w:rPr>
          <w:b/>
          <w:bCs/>
        </w:rPr>
        <w:t xml:space="preserve">0 / 9 (0.0%)</w:t>
      </w:r>
      <w:r>
        <w:t xml:space="preserve"> </w:t>
      </w:r>
      <w:r>
        <w:t xml:space="preserve">confabulations, completely eliminating fabricated past-30d antibiotic status and generating 100% explicit conditional antibiotic pathways.</w:t>
      </w:r>
      <w:r>
        <w:t xml:space="preserve"> </w:t>
      </w:r>
      <w:r>
        <w:t xml:space="preserve">-</w:t>
      </w:r>
      <w:r>
        <w:t xml:space="preserve"> </w:t>
      </w:r>
      <w:r>
        <w:rPr>
          <w:b/>
          <w:bCs/>
        </w:rPr>
        <w:t xml:space="preserve">Parametric Literature Decay in Compact Architecture:</w:t>
      </w:r>
      <w:r>
        <w:t xml:space="preserve"> </w:t>
      </w:r>
      <w:r>
        <w:t xml:space="preserve">In Haiku 4.5,</w:t>
      </w:r>
      <w:r>
        <w:t xml:space="preserve"> </w:t>
      </w:r>
      <w:r>
        <w:rPr>
          <w:b/>
          <w:bCs/>
        </w:rPr>
        <w:t xml:space="preserve">19 of 24 traces (79.2%)</w:t>
      </w:r>
      <w:r>
        <w:t xml:space="preserve"> </w:t>
      </w:r>
      <w:r>
        <w:t xml:space="preserve">prescribed obsolete pre-2004 45 mg/kg/day amoxicillin, compared to</w:t>
      </w:r>
      <w:r>
        <w:t xml:space="preserve"> </w:t>
      </w:r>
      <w:r>
        <w:rPr>
          <w:b/>
          <w:bCs/>
        </w:rPr>
        <w:t xml:space="preserve">0 of 72 traces (0.0%)</w:t>
      </w:r>
      <w:r>
        <w:t xml:space="preserve"> </w:t>
      </w:r>
      <w:r>
        <w:t xml:space="preserve">in frontier models (which universally prescribed 80–90 mg/kg/day).</w:t>
      </w:r>
      <w:r>
        <w:t xml:space="preserve"> </w:t>
      </w:r>
      <w:r>
        <w:t xml:space="preserve">-</w:t>
      </w:r>
      <w:r>
        <w:t xml:space="preserve"> </w:t>
      </w:r>
      <w:r>
        <w:rPr>
          <w:b/>
          <w:bCs/>
        </w:rPr>
        <w:t xml:space="preserve">Cognitive Arithmetic Split-Brain:</w:t>
      </w:r>
      <w:r>
        <w:t xml:space="preserve"> </w:t>
      </w:r>
      <w:r>
        <w:t xml:space="preserve">In multiple traces, Haiku exhibited internal token dissonance: it wrote</w:t>
      </w:r>
      <w:r>
        <w:t xml:space="preserve"> </w:t>
      </w:r>
      <w:r>
        <w:rPr>
          <w:i/>
          <w:iCs/>
        </w:rPr>
        <w:t xml:space="preserve">“Dose: 45 mg/kg/day divided BID (approximately 560 mg BID for this 12.4 kg child)”</w:t>
      </w:r>
      <w:r>
        <w:t xml:space="preserve">. In arithmetic calculation,</w:t>
      </w:r>
      <w:r>
        <w:t xml:space="preserve"> </w:t>
      </w:r>
      <m:oMath>
        <m:r>
          <m:t>560</m:t>
        </m:r>
        <m:r>
          <m:rPr>
            <m:nor/>
            <m:sty m:val="p"/>
          </m:rPr>
          <m:t> mg BID</m:t>
        </m:r>
        <m:r>
          <m:rPr>
            <m:sty m:val="p"/>
          </m:rPr>
          <m:t>=</m:t>
        </m:r>
        <m:r>
          <m:t>1</m:t>
        </m:r>
        <m:r>
          <m:rPr>
            <m:sty m:val="p"/>
          </m:rPr>
          <m:t>,</m:t>
        </m:r>
        <m:r>
          <m:t>120</m:t>
        </m:r>
        <m:r>
          <m:rPr>
            <m:nor/>
            <m:sty m:val="p"/>
          </m:rPr>
          <m:t> mg/day</m:t>
        </m:r>
        <m:r>
          <m:rPr>
            <m:sty m:val="p"/>
          </m:rPr>
          <m:t>÷</m:t>
        </m:r>
        <m:r>
          <m:t>12.4</m:t>
        </m:r>
        <m:r>
          <m:rPr>
            <m:nor/>
            <m:sty m:val="p"/>
          </m:rPr>
          <m:t> kg</m:t>
        </m:r>
        <m:r>
          <m:rPr>
            <m:sty m:val="p"/>
          </m:rPr>
          <m:t>=</m:t>
        </m:r>
        <m:r>
          <m:rPr>
            <m:sty m:val="b"/>
          </m:rPr>
          <m:t>90.3</m:t>
        </m:r>
        <m:r>
          <m:rPr>
            <m:nor/>
            <m:sty m:val="p"/>
          </m:rPr>
          <m:t> mg/kg/day</m:t>
        </m:r>
      </m:oMath>
      <w:r>
        <w:t xml:space="preserve">, demonstrating that Haiku’s token reasoning calculated current 90 mg/kg guideline dosing while its pre-2004 parametric weights emitted the obsolete</w:t>
      </w:r>
      <w:r>
        <w:t xml:space="preserve"> </w:t>
      </w:r>
      <w:r>
        <w:t xml:space="preserve">“45 mg/kg”</w:t>
      </w:r>
      <w:r>
        <w:t xml:space="preserve"> </w:t>
      </w:r>
      <w:r>
        <w:t xml:space="preserve">label.</w:t>
      </w:r>
    </w:p>
    <w:p>
      <w:r>
        <w:pict>
          <v:rect style="width:0;height:1.5pt" o:hralign="center" o:hrstd="t" o:hr="t"/>
        </w:pict>
      </w:r>
    </w:p>
    <w:bookmarkEnd w:id="29"/>
    <w:bookmarkStart w:id="30" w:name="X7c799f5ab4c683c44832457f9e288815b08cc56"/>
    <w:p>
      <w:pPr>
        <w:pStyle w:val="Heading3"/>
      </w:pPr>
      <w:r>
        <w:t xml:space="preserve">3.5.2 Cross-Lab Factorial Evaluation Across Frontier and Compact Tiers (</w:t>
      </w:r>
      <m:oMath>
        <m:r>
          <m:t>N</m:t>
        </m:r>
        <m:r>
          <m:rPr>
            <m:sty m:val="p"/>
          </m:rPr>
          <m:t>=</m:t>
        </m:r>
        <m:r>
          <m:t>144</m:t>
        </m:r>
      </m:oMath>
      <w:r>
        <w:t xml:space="preserve"> </w:t>
      </w:r>
      <w:r>
        <w:t xml:space="preserve">Traces)</w:t>
      </w:r>
    </w:p>
    <w:p>
      <w:pPr>
        <w:pStyle w:val="FirstParagraph"/>
      </w:pPr>
      <w:r>
        <w:t xml:space="preserve">To assess whether the failure mode and curative architecture generalize across commercial developers and model parameter tiers, we deployed the</w:t>
      </w:r>
      <w:r>
        <w:t xml:space="preserve"> </w:t>
      </w:r>
      <m:oMath>
        <m:sSup>
          <m:e>
            <m:r>
              <m:t>2</m:t>
            </m:r>
          </m:e>
          <m:sup>
            <m:r>
              <m:t>3</m:t>
            </m:r>
          </m:sup>
        </m:sSup>
      </m:oMath>
      <w:r>
        <w:t xml:space="preserve"> </w:t>
      </w:r>
      <w:r>
        <w:t xml:space="preserve">factorial matrix across OpenAI and Google models on both Minor Head Trauma and AOM (</w:t>
      </w:r>
      <m:oMath>
        <m:r>
          <m:t>N</m:t>
        </m:r>
        <m:r>
          <m:rPr>
            <m:sty m:val="p"/>
          </m:rPr>
          <m:t>=</m:t>
        </m:r>
        <m:r>
          <m:t>144</m:t>
        </m:r>
      </m:oMath>
      <w:r>
        <w:t xml:space="preserve"> </w:t>
      </w:r>
      <w:r>
        <w:t xml:space="preserve">traces across</w:t>
      </w:r>
      <w:r>
        <w:t xml:space="preserve"> </w:t>
      </w:r>
      <w:r>
        <w:rPr>
          <w:rStyle w:val="VerbatimChar"/>
        </w:rPr>
        <w:t xml:space="preserve">gpt-5.6-terra</w:t>
      </w:r>
      <w:r>
        <w:t xml:space="preserve">,</w:t>
      </w:r>
      <w:r>
        <w:t xml:space="preserve"> </w:t>
      </w:r>
      <w:r>
        <w:rPr>
          <w:rStyle w:val="VerbatimChar"/>
        </w:rPr>
        <w:t xml:space="preserve">gpt-5.6-luna</w:t>
      </w:r>
      <w:r>
        <w:t xml:space="preserve">,</w:t>
      </w:r>
      <w:r>
        <w:t xml:space="preserve"> </w:t>
      </w:r>
      <w:r>
        <w:rPr>
          <w:rStyle w:val="VerbatimChar"/>
        </w:rPr>
        <w:t xml:space="preserve">gemini-3.1-pro-preview</w:t>
      </w:r>
      <w:r>
        <w:t xml:space="preserve">, and</w:t>
      </w:r>
      <w:r>
        <w:t xml:space="preserve"> </w:t>
      </w:r>
      <w:r>
        <w:rPr>
          <w:rStyle w:val="VerbatimChar"/>
        </w:rPr>
        <w:t xml:space="preserve">gemini-3.7-flash</w:t>
      </w:r>
      <w:r>
        <w:t xml:space="preserve">):</w:t>
      </w:r>
      <w:r>
        <w:t xml:space="preserve"> </w:t>
      </w:r>
      <w:r>
        <w:t xml:space="preserve">1.</w:t>
      </w:r>
      <w:r>
        <w:t xml:space="preserve"> </w:t>
      </w:r>
      <w:r>
        <w:rPr>
          <w:b/>
          <w:bCs/>
        </w:rPr>
        <w:t xml:space="preserve">The Behavioral Divergence (Checklist Confabulation vs. Narrative Silent Omission):</w:t>
      </w:r>
      <w:r>
        <w:t xml:space="preserve"> </w:t>
      </w:r>
      <w:r>
        <w:t xml:space="preserve">At baseline (Cell 1), Claude models structured their assessments around explicit clinical decision rules, actively fabricating negative entries (</w:t>
      </w:r>
      <w:r>
        <w:rPr>
          <w:rStyle w:val="VerbatimChar"/>
        </w:rPr>
        <w:t xml:space="preserve">- No LOC — negative</w:t>
      </w:r>
      <w:r>
        <w:t xml:space="preserve">) to complete the table. In contrast, OpenAI and Google models generated fluid narrative prose and</w:t>
      </w:r>
      <w:r>
        <w:t xml:space="preserve"> </w:t>
      </w:r>
      <w:r>
        <w:rPr>
          <w:b/>
          <w:bCs/>
        </w:rPr>
        <w:t xml:space="preserve">glided past the unstated LOC entirely (100% Silent Omission)</w:t>
      </w:r>
      <w:r>
        <w:t xml:space="preserve">, recommending observation without auditing consciousness.</w:t>
      </w:r>
      <w:r>
        <w:t xml:space="preserve"> </w:t>
      </w:r>
      <w:r>
        <w:t xml:space="preserve">2.</w:t>
      </w:r>
      <w:r>
        <w:t xml:space="preserve"> </w:t>
      </w:r>
      <w:r>
        <w:rPr>
          <w:b/>
          <w:bCs/>
        </w:rPr>
        <w:t xml:space="preserve">Compact Model Sensitivity (The Haiku Specificity):</w:t>
      </w:r>
      <w:r>
        <w:t xml:space="preserve"> </w:t>
      </w:r>
      <w:r>
        <w:t xml:space="preserve">When evaluated under Clause A alone (Cell 2), neither</w:t>
      </w:r>
      <w:r>
        <w:t xml:space="preserve"> </w:t>
      </w:r>
      <w:r>
        <w:rPr>
          <w:rStyle w:val="VerbatimChar"/>
        </w:rPr>
        <w:t xml:space="preserve">gpt-5.6-luna</w:t>
      </w:r>
      <w:r>
        <w:t xml:space="preserve"> </w:t>
      </w:r>
      <w:r>
        <w:t xml:space="preserve">nor</w:t>
      </w:r>
      <w:r>
        <w:t xml:space="preserve"> </w:t>
      </w:r>
      <w:r>
        <w:rPr>
          <w:rStyle w:val="VerbatimChar"/>
        </w:rPr>
        <w:t xml:space="preserve">gemini-3.7-flash</w:t>
      </w:r>
      <w:r>
        <w:t xml:space="preserve"> </w:t>
      </w:r>
      <w:r>
        <w:t xml:space="preserve">exhibited Haiku’s prompt-induced confabulation reflex (0/6, 0.0%). Both compact models formulated explicit inquiries regarding fall height and LOC duration and branched conditionally, proving that prompt-induced auto-completion under open-ended queries is an Anthropic-specific checklist artifact rather than a universal property of compact models.</w:t>
      </w:r>
      <w:r>
        <w:t xml:space="preserve"> </w:t>
      </w:r>
      <w:r>
        <w:t xml:space="preserve">3.</w:t>
      </w:r>
      <w:r>
        <w:t xml:space="preserve"> </w:t>
      </w:r>
      <w:r>
        <w:rPr>
          <w:b/>
          <w:bCs/>
        </w:rPr>
        <w:t xml:space="preserve">Universal Curative Extinction under Brake + Branching (Cell 7):</w:t>
      </w:r>
      <w:r>
        <w:t xml:space="preserve"> </w:t>
      </w:r>
      <w:r>
        <w:t xml:space="preserve">Across all 7 evaluated models spanning all 3 developers and both parameter tiers, Cell 7 (Brake + Branching) achieved</w:t>
      </w:r>
      <w:r>
        <w:t xml:space="preserve"> </w:t>
      </w:r>
      <w:r>
        <w:rPr>
          <w:b/>
          <w:bCs/>
        </w:rPr>
        <w:t xml:space="preserve">0 / 36 (0.0%)</w:t>
      </w:r>
      <w:r>
        <w:t xml:space="preserve"> </w:t>
      </w:r>
      <w:r>
        <w:t xml:space="preserve">confabulations on Head Trauma and AOM, with 100% explicit conditional branching.</w:t>
      </w:r>
    </w:p>
    <w:p>
      <w:r>
        <w:pict>
          <v:rect style="width:0;height:1.5pt" o:hralign="center" o:hrstd="t" o:hr="t"/>
        </w:pict>
      </w:r>
    </w:p>
    <w:bookmarkEnd w:id="30"/>
    <w:bookmarkStart w:id="31" w:name="X12beb8341a042280ab9d942fedc5f7c4bd19ba5"/>
    <w:p>
      <w:pPr>
        <w:pStyle w:val="Heading3"/>
      </w:pPr>
      <w:r>
        <w:t xml:space="preserve">3.6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31"/>
    <w:bookmarkStart w:id="33" w:name="X0ab47e3c17dae80e38cc49b1f1f62b33050bdf2"/>
    <w:p>
      <w:pPr>
        <w:pStyle w:val="Heading3"/>
      </w:pPr>
      <w:r>
        <w:t xml:space="preserve">Table 4: Multi-Condition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32" w:name="key-statistical-findings"/>
    <w:p>
      <w:pPr>
        <w:pStyle w:val="Heading4"/>
      </w:pPr>
      <w:r>
        <w:t xml:space="preserve">Key Statistical Findings:</w:t>
      </w:r>
    </w:p>
    <w:p>
      <w:pPr>
        <w:pStyle w:val="Compact"/>
        <w:numPr>
          <w:ilvl w:val="0"/>
          <w:numId w:val="1006"/>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6"/>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6"/>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claude-fable-5</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6"/>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6"/>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32"/>
    <w:bookmarkEnd w:id="33"/>
    <w:bookmarkEnd w:id="34"/>
    <w:bookmarkStart w:id="39"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35"/>
    <w:bookmarkStart w:id="36"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Our</w:t>
      </w:r>
      <w:r>
        <w:t xml:space="preserve"> </w:t>
      </w:r>
      <m:oMath>
        <m:sSup>
          <m:e>
            <m:r>
              <m:t>2</m:t>
            </m:r>
          </m:e>
          <m:sup>
            <m:r>
              <m:t>3</m:t>
            </m:r>
          </m:sup>
        </m:sSup>
      </m:oMath>
      <w:r>
        <w:t xml:space="preserve"> </w:t>
      </w:r>
      <w:r>
        <w:t xml:space="preserve">factorial component analysis demonstrates why this occurs: querying missing data alone is insufficient (Cell 2, 50% confabulation), and branching authorization alone fails (Cell 4, 66.7% confabulation). It is specifically the combination of</w:t>
      </w:r>
      <w:r>
        <w:t xml:space="preserve"> </w:t>
      </w:r>
      <w:r>
        <w:rPr>
          <w:b/>
          <w:bCs/>
        </w:rPr>
        <w:t xml:space="preserve">Clause B (The Epistemic Brake)</w:t>
      </w:r>
      <w:r>
        <w:t xml:space="preserve"> </w:t>
      </w:r>
      <w:r>
        <w:t xml:space="preserve">and</w:t>
      </w:r>
      <w:r>
        <w:t xml:space="preserve"> </w:t>
      </w:r>
      <w:r>
        <w:rPr>
          <w:b/>
          <w:bCs/>
        </w:rPr>
        <w:t xml:space="preserve">Clause C (The Action Authorization)</w:t>
      </w:r>
      <w:r>
        <w:t xml:space="preserve">—Cell 7 (0/6, 0.0%)—that resolves the dilemma by providing a viable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6"/>
    <w:bookmarkStart w:id="37"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7"/>
    <w:bookmarkStart w:id="38"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1,080 total evaluated generation traces (1,900 turns), the multi-condition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 Fourth, our</w:t>
      </w:r>
      <w:r>
        <w:t xml:space="preserve"> </w:t>
      </w:r>
      <m:oMath>
        <m:sSup>
          <m:e>
            <m:r>
              <m:t>2</m:t>
            </m:r>
          </m:e>
          <m:sup>
            <m:r>
              <m:t>3</m:t>
            </m:r>
          </m:sup>
        </m:sSup>
      </m:oMath>
      <w:r>
        <w:t xml:space="preserve"> </w:t>
      </w:r>
      <w:r>
        <w:t xml:space="preserve">factorial component ablation was evaluated on a single index scenario (</w:t>
      </w:r>
      <w:r>
        <w:rPr>
          <w:rStyle w:val="VerbatimChar"/>
        </w:rPr>
        <w:t xml:space="preserve">head_24mo</w:t>
      </w:r>
      <w:r>
        <w:t xml:space="preserve">). This vignette served as a necessary positive control because it was the only acute generalization condition where frontier models exhibited high baseline confabulation (83.3% in Anthropic flagships), whereas pneumonia, UTI, and seizure exhibited zero baseline errors. While this single-case ablation definitively isolates the causal synergy between the Epistemic Brake and Branching Authorization within this decision node, multi-condition factorial ablations across diverse medical specialties are needed to determine domain-wide generalizability.</w:t>
      </w:r>
    </w:p>
    <w:p>
      <w:r>
        <w:pict>
          <v:rect style="width:0;height:1.5pt" o:hralign="center" o:hrstd="t" o:hr="t"/>
        </w:pict>
      </w:r>
    </w:p>
    <w:bookmarkEnd w:id="38"/>
    <w:bookmarkEnd w:id="39"/>
    <w:bookmarkStart w:id="40" w:name="declarations-regulatory-statements"/>
    <w:p>
      <w:pPr>
        <w:pStyle w:val="Heading2"/>
      </w:pPr>
      <w:r>
        <w:t xml:space="preserve">5. Declarations &amp; Regulatory Statements</w:t>
      </w:r>
    </w:p>
    <w:p>
      <w:pPr>
        <w:pStyle w:val="Compact"/>
        <w:numPr>
          <w:ilvl w:val="0"/>
          <w:numId w:val="1007"/>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7"/>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7"/>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7"/>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7"/>
        </w:numPr>
      </w:pPr>
      <w:r>
        <w:rPr>
          <w:b/>
          <w:bCs/>
        </w:rPr>
        <w:t xml:space="preserve">Competing Interests:</w:t>
      </w:r>
      <w:r>
        <w:t xml:space="preserve"> </w:t>
      </w:r>
      <w:r>
        <w:t xml:space="preserve">The author declares no competing financial or non-financial interests.</w:t>
      </w:r>
    </w:p>
    <w:p>
      <w:pPr>
        <w:pStyle w:val="Compact"/>
        <w:numPr>
          <w:ilvl w:val="0"/>
          <w:numId w:val="1007"/>
        </w:numPr>
      </w:pPr>
      <w:r>
        <w:rPr>
          <w:b/>
          <w:bCs/>
        </w:rPr>
        <w:t xml:space="preserve">Funding:</w:t>
      </w:r>
      <w:r>
        <w:t xml:space="preserve"> </w:t>
      </w:r>
      <w:r>
        <w:t xml:space="preserve">This research received no external grant funding.</w:t>
      </w:r>
    </w:p>
    <w:p>
      <w:pPr>
        <w:pStyle w:val="Compact"/>
        <w:numPr>
          <w:ilvl w:val="0"/>
          <w:numId w:val="1007"/>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40"/>
    <w:bookmarkStart w:id="41" w:name="references"/>
    <w:p>
      <w:pPr>
        <w:pStyle w:val="Heading2"/>
      </w:pPr>
      <w:r>
        <w:t xml:space="preserve">6. References</w:t>
      </w:r>
    </w:p>
    <w:p>
      <w:pPr>
        <w:pStyle w:val="Compact"/>
        <w:numPr>
          <w:ilvl w:val="0"/>
          <w:numId w:val="1008"/>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8"/>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8"/>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8"/>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8"/>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8"/>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8"/>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8"/>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8"/>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8"/>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8"/>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8"/>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8"/>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8"/>
        </w:numPr>
      </w:pPr>
      <w:r>
        <w:t xml:space="preserve">Gawande A. The Checklist Manifesto: How to Get Things Right. Metropolitan Books; 2009.</w:t>
      </w:r>
    </w:p>
    <w:p>
      <w:pPr>
        <w:pStyle w:val="Compact"/>
        <w:numPr>
          <w:ilvl w:val="0"/>
          <w:numId w:val="1008"/>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2026-09-07T23:26:13Z</dcterms:created>
  <dcterms:modified xsi:type="dcterms:W3CDTF">2026-09-07T23:26:13Z</dcterms:modified>
</cp:coreProperties>
</file>

<file path=docProps/custom.xml><?xml version="1.0" encoding="utf-8"?>
<Properties xmlns="http://schemas.openxmlformats.org/officeDocument/2006/custom-properties" xmlns:vt="http://schemas.openxmlformats.org/officeDocument/2006/docPropsVTypes"/>
</file>