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ebb2672f5f17e85a49e88e5c088f5802d3cb69"/>
    <w:p>
      <w:pPr>
        <w:pStyle w:val="Heading3"/>
      </w:pPr>
      <w:r>
        <w:t xml:space="preserve">Table S1: Consolidated Study Cohort Accounting (Unique Traces vs. Turns)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Traces (Total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generations: Baseline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 + pre-specified identity contrasts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228</m:t>
              </m:r>
            </m:oMath>
            <w:r>
              <w:t xml:space="preserve">) +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(Turn 2 sealed probing was evaluated on 192 multi-turn responses from the identity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424 unique traces</w:t>
            </w:r>
            <w:r>
              <w:t xml:space="preserve"> </w:t>
            </w:r>
            <w:r>
              <w:t xml:space="preserve">(652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association; model signatures; learned association errors; dual-pass scoring vs. clinician adjudication; 0/228 prescription invariance; 187/192 Turn 2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Occupation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 across 2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unique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Occupation-conditioned clinical justification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parent 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claude-3.7-fable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unique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test-time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Multi-Condition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balanced across 10 models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4 cases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3 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unique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in independent draws (5/6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 RD 83.3 pp,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</m:t>
              </m:r>
            </m:oMath>
            <w:r>
              <w:t xml:space="preserve">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Haiku instruction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5: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 Component Ablation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evaluating Query (A), Epistemic Brake (B), and Branching Authorization (C)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 per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 </w:t>
            </w:r>
            <w:r>
              <w:t xml:space="preserve">(unwitnessed trauma)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models (</w:t>
            </w:r>
            <w:r>
              <w:rPr>
                <w:rStyle w:val="VerbatimChar"/>
              </w:rPr>
              <w:t xml:space="preserve">opus-5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haiku-4-5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72 unique traces</w:t>
            </w:r>
            <w:r>
              <w:t xml:space="preserve"> </w:t>
            </w:r>
            <w:r>
              <w:t xml:space="preserve">(72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isolation of prompt clauses; extinction of unknown-to-negative conversion under Brake + Branching (B + C: 0/9, 0.0%)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5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1,084 unique traces</w:t>
            </w:r>
            <w:r>
              <w:t xml:space="preserve"> </w:t>
            </w:r>
            <w:r>
              <w:t xml:space="preserve">(1,900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deterministic and adjudicated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Difference (RD)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Distilled Edge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distilled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9dfee3530b84ad34c48fadca907952302e00a5c"/>
    <w:p>
      <w:pPr>
        <w:pStyle w:val="Heading2"/>
      </w:pPr>
      <w:r>
        <w:t xml:space="preserve">Section S4: Occupation-Conditioned Clinical Justification Analysis (Cohort 2)</w:t>
      </w:r>
    </w:p>
    <w:bookmarkStart w:id="16" w:name="X7b6dd39ddba9c91d877a74e6ae023a66e30db1a"/>
    <w:p>
      <w:pPr>
        <w:pStyle w:val="Heading3"/>
      </w:pPr>
      <w:r>
        <w:t xml:space="preserve">Table S4: Prescription Invariance vs. Occupation-Conditioned Justification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Substantial occupation-conditioned divergence in justification text.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); justification divergence is driven by caregiver occupation rather than parent gender.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1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Reference Standard.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b2cb6c7b22e780dd7a23f45f1b97c3837aca60c"/>
    <w:p>
      <w:pPr>
        <w:pStyle w:val="Heading3"/>
      </w:pPr>
      <w:r>
        <w:t xml:space="preserve">Section S6: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Component Ablation (Cohort 5)</w:t>
      </w:r>
    </w:p>
    <w:p>
      <w:pPr>
        <w:pStyle w:val="FirstParagraph"/>
      </w:pPr>
      <w:r>
        <w:t xml:space="preserve">Table S6 presents the complete 8-cell matrix evaluating all combinations of Clause A (Query:</w:t>
      </w:r>
      <w:r>
        <w:t xml:space="preserve"> </w:t>
      </w:r>
      <w:r>
        <w:rPr>
          <w:i/>
          <w:iCs/>
        </w:rPr>
        <w:t xml:space="preserve">“What missing information would change your plan?”</w:t>
      </w:r>
      <w:r>
        <w:t xml:space="preserve">), Clause B (Epistemic Brake:</w:t>
      </w:r>
      <w:r>
        <w:t xml:space="preserve"> </w:t>
      </w:r>
      <w:r>
        <w:rPr>
          <w:i/>
          <w:iCs/>
        </w:rPr>
        <w:t xml:space="preserve">“Do not assume unstated variables are negative”</w:t>
      </w:r>
      <w:r>
        <w:t xml:space="preserve">), and Clause C (Action Authorization:</w:t>
      </w:r>
      <w:r>
        <w:t xml:space="preserve"> </w:t>
      </w:r>
      <w:r>
        <w:rPr>
          <w:i/>
          <w:iCs/>
        </w:rPr>
        <w:t xml:space="preserve">“Provide conditional if/then recommendations”</w:t>
      </w:r>
      <w:r>
        <w:t xml:space="preserve">) on</w:t>
      </w:r>
      <w:r>
        <w:t xml:space="preserve"> </w:t>
      </w:r>
      <w:r>
        <w:rPr>
          <w:rStyle w:val="VerbatimChar"/>
        </w:rPr>
        <w:t xml:space="preserve">head_24mo</w:t>
      </w:r>
      <w:r>
        <w:t xml:space="preserve"> </w:t>
      </w:r>
      <w:r>
        <w:t xml:space="preserve">across Claude 3.5 Sonnet, Claude Opus 5, and Claude Haiku 4.5 (</w:t>
      </w:r>
      <m:oMath>
        <m:r>
          <m:t>N</m:t>
        </m:r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total traces).</w:t>
      </w:r>
    </w:p>
    <w:bookmarkEnd w:id="19"/>
    <w:bookmarkStart w:id="20" w:name="X29d61fcfe061c91b69cccf4c86d7194d575abe0"/>
    <w:p>
      <w:pPr>
        <w:pStyle w:val="Heading3"/>
      </w:pPr>
      <w:r>
        <w:t xml:space="preserve">Table S6: Clinically Adjudicated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Ablation Matrix Across Flagship and Distilled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8"/>
        <w:gridCol w:w="808"/>
        <w:gridCol w:w="808"/>
        <w:gridCol w:w="808"/>
        <w:gridCol w:w="646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A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B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C (Branching)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Haiku-4.5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Confab Rate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Branching Present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i/>
                <w:iCs/>
              </w:rPr>
              <w:t xml:space="preserve">“You are a pediatrician in clinic.”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Query (A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Epistemic Brake (B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Branching Authorization (C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3 (100.0%)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Brake (A + 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Branching (A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Brake + Branching (B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Compound Directive (A + B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Cell 8, Sonnet and Opus formulated comprehensive if/then branching in the clinical plan body, but in 1 replicate each, appended a parenthetical discharge checklist at the note footer that repeated</w:t>
      </w:r>
      <w:r>
        <w:rPr>
          <w:i/>
          <w:iCs/>
        </w:rPr>
        <w:t xml:space="preserve"> </w:t>
      </w:r>
      <w:r>
        <w:rPr>
          <w:i/>
          <w:iCs/>
        </w:rPr>
        <w:t xml:space="preserve">“- no LOC”</w:t>
      </w:r>
      <w:r>
        <w:rPr>
          <w:i/>
          <w:iCs/>
        </w:rPr>
        <w:t xml:space="preserve"> </w:t>
      </w:r>
      <w:r>
        <w:rPr>
          <w:i/>
          <w:iCs/>
        </w:rPr>
        <w:t xml:space="preserve">as an unhedged summary item. Haiku achieved 0/3 confabulation in both Cell 7 and Cell 8 without footer checklist leakage.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2026-09-07T19:13:48Z</dcterms:created>
  <dcterms:modified xsi:type="dcterms:W3CDTF">2026-09-07T19:13:48Z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