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3.7 Fable,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 prospective</w:t>
      </w:r>
      <w:r>
        <w:t xml:space="preserve"> </w:t>
      </w:r>
      <m:oMath>
        <m:sSup>
          <m:e>
            <m:r>
              <m:t>2</m:t>
            </m:r>
          </m:e>
          <m:sup>
            <m:r>
              <m:t>3</m:t>
            </m:r>
          </m:sup>
        </m:sSup>
      </m:oMath>
      <w:r>
        <w:t xml:space="preserve"> </w:t>
      </w:r>
      <w:r>
        <w:t xml:space="preserve">factorial component ablation (</w:t>
      </w:r>
      <m:oMath>
        <m:r>
          <m:t>N</m:t>
        </m:r>
        <m:r>
          <m:rPr>
            <m:sty m:val="p"/>
          </m:rPr>
          <m:t>=</m:t>
        </m:r>
        <m:r>
          <m:t>48</m:t>
        </m:r>
      </m:oMath>
      <w:r>
        <w:t xml:space="preserve"> </w:t>
      </w:r>
      <w:r>
        <w:t xml:space="preserve">traces evaluating all 8 combinations of Query, Epistemic Brake, and Branching Authorization across flagship models),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5/6, 83.3%), while remaining unobserved at baseline across pneumonia, UTI, and febrile seizure among frontier models (0/27 each). Scaling test-time reasoning compute (GPT-5.6 Sol, Claude 3.7 Fable) did not prevent head trauma confabulation. A single-sentence prompt reduced AOM fabrications from 24/56 to 6/56, clearing Opus and Haiku but leaving a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In the</w:t>
      </w:r>
      <w:r>
        <w:t xml:space="preserve"> </w:t>
      </w:r>
      <m:oMath>
        <m:sSup>
          <m:e>
            <m:r>
              <m:t>2</m:t>
            </m:r>
          </m:e>
          <m:sup>
            <m:r>
              <m:t>3</m:t>
            </m:r>
          </m:sup>
        </m:sSup>
      </m:oMath>
      <w:r>
        <w:t xml:space="preserve"> </w:t>
      </w:r>
      <w:r>
        <w:t xml:space="preserve">factorial component ablation (</w:t>
      </w:r>
      <m:oMath>
        <m:r>
          <m:t>N</m:t>
        </m:r>
        <m:r>
          <m:rPr>
            <m:sty m:val="p"/>
          </m:rPr>
          <m:t>=</m:t>
        </m:r>
        <m:r>
          <m:t>48</m:t>
        </m:r>
      </m:oMath>
      <w:r>
        <w:t xml:space="preserve">), neither querying missing information alone (3/6, 50.0%) nor authorizing branching alone (4/6, 66.7%) eliminated confabulation;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0/6, 0.0%</w:t>
      </w:r>
      <w:r>
        <w:t xml:space="preserve"> </w:t>
      </w:r>
      <w:r>
        <w:t xml:space="preserve">across Sonnet-5 and Opus-5).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resolved the residual: no unknown-to-negative conversions were observed in the affected head trauma runs across all nine frontier models (0/27, 95% CI 0.0%–12.8%; Anthropic flagships: 5/6 [83.3%] to 0/6 [0.0%], risk difference 83.3 percentage points,</w:t>
      </w:r>
      <w:r>
        <w:t xml:space="preserve"> </w:t>
      </w:r>
      <m:oMath>
        <m:r>
          <m:t>p</m:t>
        </m:r>
        <m:r>
          <m:rPr>
            <m:sty m:val="p"/>
          </m:rPr>
          <m:t>=</m:t>
        </m:r>
        <m:r>
          <m:t>0.015</m:t>
        </m:r>
      </m:oMath>
      <w:r>
        <w:t xml:space="preserve">, two-sided Fisher’s exact test). The intervention incurred a +46.3% token expansion (mean 966 to 1,413 tokens), while a distilled model (</w:t>
      </w:r>
      <w:r>
        <w:rPr>
          <w:rStyle w:val="VerbatimChar"/>
        </w:rPr>
        <w:t xml:space="preserve">haiku</w:t>
      </w:r>
      <w:r>
        <w:t xml:space="preserve">) exhibited a model-specific instruction-adherence failure.</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When clinical records are incomplete, single-turn declarative AI orders create unmonitored patient safety risks. Clinical decision support architectures should evaluate structured contingency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both flagship models (</w:t>
      </w:r>
      <w:r>
        <w:rPr>
          <w:rStyle w:val="VerbatimChar"/>
        </w:rPr>
        <w:t xml:space="preserve">claude-sonnet-5</w:t>
      </w:r>
      <w:r>
        <w:t xml:space="preserve"> </w:t>
      </w:r>
      <w:r>
        <w:t xml:space="preserve">and</w:t>
      </w:r>
      <w:r>
        <w:t xml:space="preserve"> </w:t>
      </w:r>
      <w:r>
        <w:rPr>
          <w:rStyle w:val="VerbatimChar"/>
        </w:rPr>
        <w:t xml:space="preserve">claude-opus-5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48</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48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2"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we evaluated all eight combinations (</w:t>
      </w:r>
      <m:oMath>
        <m:sSup>
          <m:e>
            <m:r>
              <m:t>2</m:t>
            </m:r>
          </m:e>
          <m:sup>
            <m:r>
              <m:t>3</m:t>
            </m:r>
          </m:sup>
        </m:sSup>
      </m:oMath>
      <w:r>
        <w:t xml:space="preserve">) on the minor head trauma vignette across Claude 3.5 Sonnet and Claude Opus 5 (</w:t>
      </w:r>
      <m:oMath>
        <m:r>
          <m:t>N</m:t>
        </m:r>
        <m:r>
          <m:rPr>
            <m:sty m:val="p"/>
          </m:rPr>
          <m:t>=</m:t>
        </m:r>
        <m:r>
          <m:t>48</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1015"/>
        <w:gridCol w:w="1015"/>
        <w:gridCol w:w="1015"/>
        <w:gridCol w:w="1015"/>
        <w:gridCol w:w="812"/>
        <w:gridCol w:w="1015"/>
        <w:gridCol w:w="1015"/>
        <w:gridCol w:w="1015"/>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Sonnet-5 Confab</w:t>
            </w:r>
          </w:p>
        </w:tc>
        <w:tc>
          <w:tcPr/>
          <w:p>
            <w:pPr>
              <w:pStyle w:val="Compact"/>
              <w:jc w:val="center"/>
            </w:pPr>
            <w:r>
              <w:t xml:space="preserve">Opus-5 Confab</w:t>
            </w:r>
          </w:p>
        </w:tc>
        <w:tc>
          <w:tcPr/>
          <w:p>
            <w:pPr>
              <w:pStyle w:val="Compact"/>
              <w:jc w:val="center"/>
            </w:pPr>
            <w:r>
              <w:t xml:space="preserve">Pooled Confab Rate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2 / 3 (66.7%)</w:t>
            </w:r>
          </w:p>
        </w:tc>
        <w:tc>
          <w:tcPr/>
          <w:p>
            <w:pPr>
              <w:pStyle w:val="Compact"/>
              <w:jc w:val="center"/>
            </w:pPr>
            <w:r>
              <w:t xml:space="preserve">2 / 3 (66.7%)</w:t>
            </w:r>
          </w:p>
        </w:tc>
        <w:tc>
          <w:tcPr/>
          <w:p>
            <w:pPr>
              <w:pStyle w:val="Compact"/>
              <w:jc w:val="center"/>
            </w:pPr>
            <w:r>
              <w:rPr>
                <w:b/>
                <w:bCs/>
              </w:rPr>
              <w:t xml:space="preserve">4 / 6 (66.7%)</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3 / 6 (50.0%)</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3 / 6 (50.0%)</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3 / 3 (100.0%)</w:t>
            </w:r>
          </w:p>
        </w:tc>
        <w:tc>
          <w:tcPr/>
          <w:p>
            <w:pPr>
              <w:pStyle w:val="Compact"/>
              <w:jc w:val="center"/>
            </w:pPr>
            <w:r>
              <w:t xml:space="preserve">1 / 3 (33.3%)</w:t>
            </w:r>
          </w:p>
        </w:tc>
        <w:tc>
          <w:tcPr/>
          <w:p>
            <w:pPr>
              <w:pStyle w:val="Compact"/>
              <w:jc w:val="center"/>
            </w:pPr>
            <w:r>
              <w:rPr>
                <w:b/>
                <w:bCs/>
              </w:rPr>
              <w:t xml:space="preserve">4 / 6 (66.7%)</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2 / 6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2 / 3 (66.7%)</w:t>
            </w:r>
          </w:p>
        </w:tc>
        <w:tc>
          <w:tcPr/>
          <w:p>
            <w:pPr>
              <w:pStyle w:val="Compact"/>
              <w:jc w:val="center"/>
            </w:pPr>
            <w:r>
              <w:rPr>
                <w:b/>
                <w:bCs/>
              </w:rPr>
              <w:t xml:space="preserve">2 / 6 (33.3%)</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6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2 / 6 (33.3%)</w:t>
            </w:r>
          </w:p>
        </w:tc>
      </w:tr>
    </w:tbl>
    <w:p>
      <w:pPr>
        <w:pStyle w:val="BodyText"/>
      </w:pPr>
      <w:r>
        <w:rPr>
          <w:i/>
          <w:iCs/>
        </w:rPr>
        <w:t xml:space="preserve">*Note: In Cell 8, both models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w:t>
      </w:r>
    </w:p>
    <w:bookmarkStart w:id="27" w:name="key-factorial-findings"/>
    <w:p>
      <w:pPr>
        <w:pStyle w:val="Heading4"/>
      </w:pPr>
      <w:r>
        <w:t xml:space="preserve">Key Factorial Findings:</w:t>
      </w:r>
    </w:p>
    <w:p>
      <w:pPr>
        <w:pStyle w:val="Compact"/>
        <w:numPr>
          <w:ilvl w:val="0"/>
          <w:numId w:val="1005"/>
        </w:numPr>
      </w:pPr>
      <w:r>
        <w:rPr>
          <w:b/>
          <w:bCs/>
        </w:rPr>
        <w:t xml:space="preserve">Query Alone Is Insufficient:</w:t>
      </w:r>
      <w:r>
        <w:t xml:space="preserve"> </w:t>
      </w:r>
      <w:r>
        <w:t xml:space="preserve">Instructing the model to query missing information (Cell 2, 50.0% confabulation) did not prevent it from asserting</w:t>
      </w:r>
      <w:r>
        <w:t xml:space="preserve"> </w:t>
      </w:r>
      <w:r>
        <w:t xml:space="preserve">“no LOC”</w:t>
      </w:r>
      <w:r>
        <w:t xml:space="preserve"> </w:t>
      </w:r>
      <w:r>
        <w:t xml:space="preserve">in the treatment plan.</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66.7% confabulation) resulted in models assuming LOC was negative and branching on secondary considerations.</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0/6, 0.0%</w:t>
      </w:r>
      <w:r>
        <w:t xml:space="preserve">) across both models. This confirms that epistemic restraint requires a valid structural outlet: models only cease fabricating checklist variables when they are simultaneously provided an authorized path for clinical decisiveness through conditional branching.</w:t>
      </w:r>
    </w:p>
    <w:p>
      <w:r>
        <w:pict>
          <v:rect style="width:0;height:1.5pt" o:hralign="center" o:hrstd="t" o:hr="t"/>
        </w:pict>
      </w:r>
    </w:p>
    <w:bookmarkEnd w:id="27"/>
    <w:bookmarkEnd w:id="28"/>
    <w:bookmarkStart w:id="29"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29"/>
    <w:bookmarkStart w:id="31"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0"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claude-3.7-fable</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0"/>
    <w:bookmarkEnd w:id="31"/>
    <w:bookmarkEnd w:id="32"/>
    <w:bookmarkStart w:id="37" w:name="discussion"/>
    <w:p>
      <w:pPr>
        <w:pStyle w:val="Heading2"/>
      </w:pPr>
      <w:r>
        <w:t xml:space="preserve">4. Discussion</w:t>
      </w:r>
    </w:p>
    <w:bookmarkStart w:id="33"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3"/>
    <w:bookmarkStart w:id="34"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4"/>
    <w:bookmarkStart w:id="35"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5"/>
    <w:bookmarkStart w:id="36"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900 total evaluated traces, the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w:t>
      </w:r>
    </w:p>
    <w:p>
      <w:r>
        <w:pict>
          <v:rect style="width:0;height:1.5pt" o:hralign="center" o:hrstd="t" o:hr="t"/>
        </w:pict>
      </w:r>
    </w:p>
    <w:bookmarkEnd w:id="36"/>
    <w:bookmarkEnd w:id="37"/>
    <w:bookmarkStart w:id="38"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8"/>
    <w:bookmarkStart w:id="39"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2026-09-07T19:07:08Z</dcterms:created>
  <dcterms:modified xsi:type="dcterms:W3CDTF">2026-09-07T19:07:08Z</dcterms:modified>
</cp:coreProperties>
</file>

<file path=docProps/custom.xml><?xml version="1.0" encoding="utf-8"?>
<Properties xmlns="http://schemas.openxmlformats.org/officeDocument/2006/custom-properties" xmlns:vt="http://schemas.openxmlformats.org/officeDocument/2006/docPropsVTypes"/>
</file>