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e942d505feda5fccdf967d4ad4edb03fa877b24"/>
    <w:p>
      <w:pPr>
        <w:pStyle w:val="Heading1"/>
      </w:pPr>
      <w:r>
        <w:t xml:space="preserve">Supplementary Appendix: Statistical Synthesis, Adjudication Audit, and Cohort Flow</w:t>
      </w:r>
    </w:p>
    <w:p>
      <w:pPr>
        <w:pStyle w:val="FirstParagraph"/>
      </w:pPr>
      <w:r>
        <w:rPr>
          <w:b/>
          <w:bCs/>
        </w:rPr>
        <w:t xml:space="preserve">Companion Material to:</w:t>
      </w:r>
      <w:r>
        <w:t xml:space="preserve"> </w:t>
      </w:r>
      <w:r>
        <w:rPr>
          <w:i/>
          <w:iCs/>
        </w:rPr>
        <w:t xml:space="preserve">Unknown-to-Negative Conversion in Clinical Large Language Models: A Multi-Model Evaluation of Decision-Critical Missingness and Conditional Prompting</w:t>
      </w:r>
      <w:r>
        <w:br/>
      </w:r>
      <w:r>
        <w:rPr>
          <w:b/>
          <w:bCs/>
        </w:rPr>
        <w:t xml:space="preserve">Author:</w:t>
      </w:r>
      <w:r>
        <w:t xml:space="preserve"> </w:t>
      </w:r>
      <w:r>
        <w:t xml:space="preserve">Michael Hobbs, MD</w:t>
      </w:r>
      <w:r>
        <w:br/>
      </w:r>
      <w:r>
        <w:rPr>
          <w:b/>
          <w:bCs/>
        </w:rP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0009-0007-6967-1207</w:t>
        </w:r>
      </w:hyperlink>
      <w:r>
        <w:br/>
      </w:r>
      <w:r>
        <w:rPr>
          <w:b/>
          <w:bCs/>
        </w:rPr>
        <w:t xml:space="preserve">Repository:</w:t>
      </w:r>
      <w:r>
        <w:t xml:space="preserve"> </w:t>
      </w:r>
      <w:r>
        <w:rPr>
          <w:rStyle w:val="VerbatimChar"/>
        </w:rPr>
        <w:t xml:space="preserve">https://github.com/dochobbs/aom-chart</w:t>
      </w:r>
    </w:p>
    <w:p>
      <w:r>
        <w:pict>
          <v:rect style="width:0;height:1.5pt" o:hralign="center" o:hrstd="t" o:hr="t"/>
        </w:pict>
      </w:r>
    </w:p>
    <w:bookmarkStart w:id="11" w:name="Xcf309eb4490e7627afe7556e1846cc9b67e9811"/>
    <w:p>
      <w:pPr>
        <w:pStyle w:val="Heading2"/>
      </w:pPr>
      <w:r>
        <w:t xml:space="preserve">Section S1: Experimental Cohort Architecture &amp; Study Flow</w:t>
      </w:r>
    </w:p>
    <w:p>
      <w:pPr>
        <w:pStyle w:val="FirstParagraph"/>
      </w:pPr>
      <w:r>
        <w:t xml:space="preserve">To ensure transparent accounting and prevent pseudoreplication or denominator mixing, Table S1 outlines the four distinct experimental cohorts evaluated across this study.</w:t>
      </w:r>
    </w:p>
    <w:bookmarkStart w:id="10" w:name="X23299fc3f8c9199add6e76bc62e83ed7f57aa53"/>
    <w:p>
      <w:pPr>
        <w:pStyle w:val="Heading3"/>
      </w:pPr>
      <w:r>
        <w:t xml:space="preserve">Table S1: Consolidated Study Cohort Accounting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/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Traces (Turns)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Analytical Endpoints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1: Foundational AOM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unguided catalog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140</m:t>
              </m:r>
            </m:oMath>
            <w:r>
              <w:t xml:space="preserve">); pre-specified identity contrast testing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228</m:t>
              </m:r>
            </m:oMath>
            <w:r>
              <w:t xml:space="preserve"> </w:t>
            </w:r>
            <w:r>
              <w:t xml:space="preserve">traces); Turn 2 sealed probing evaluations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192</m:t>
              </m:r>
            </m:oMath>
            <w:r>
              <w:t xml:space="preserve"> </w:t>
            </w:r>
            <w:r>
              <w:t xml:space="preserve">multi-turn traces); single-sentence prompt intervention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aom</w:t>
            </w:r>
            <w:r>
              <w:t xml:space="preserve"> </w:t>
            </w:r>
            <w:r>
              <w:t xml:space="preserve">(24mo)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models (4 vendor families)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580 traces</w:t>
            </w:r>
            <w:r>
              <w:t xml:space="preserve"> </w:t>
            </w:r>
            <w:r>
              <w:t xml:space="preserve">(772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Closed-world fabrication; verbosity correlation; model signatures; parametric decay; dual-pass scoring vs. clinician adjudication; 0/228 prescription invariance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2: Factorial Credentialism Battery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factorial (Mother/Father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Nurse/Unemployed)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replicates per cell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head_24mo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models (</w:t>
            </w:r>
            <w:r>
              <w:rPr>
                <w:rStyle w:val="VerbatimChar"/>
              </w:rPr>
              <w:t xml:space="preserve">fable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sonnet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288 traces</w:t>
            </w:r>
            <w:r>
              <w:t xml:space="preserve"> </w:t>
            </w:r>
            <w:r>
              <w:t xml:space="preserve">(576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Parental credentialism in justification text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t xml:space="preserve">) vs. gender invariance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3: Reasoning Compute 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Test-time reasoning token scaling (Dynamic effort: None, Low, Medium, High, Max)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replicates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cap_5y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seizure_6mo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reasoning models (</w:t>
            </w:r>
            <w:r>
              <w:rPr>
                <w:rStyle w:val="VerbatimChar"/>
              </w:rPr>
              <w:t xml:space="preserve">gpt-5.6-sol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claude-3.7-fable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60 traces</w:t>
            </w:r>
            <w:r>
              <w:t xml:space="preserve"> </w:t>
            </w:r>
            <w:r>
              <w:t xml:space="preserve">(120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of unknown-to-negative conversion under scaled reasoning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4: Multi-Case Replicate 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baseline unguided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) vs. Compound Contingency Directive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replicates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cap_5y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seizure_6mo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models (all vendors)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240 traces</w:t>
            </w:r>
            <w:r>
              <w:t xml:space="preserve"> </w:t>
            </w:r>
            <w:r>
              <w:t xml:space="preserve">(480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 of head-injury confabulation (5/6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0/6,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0.015</m:t>
              </m:r>
            </m:oMath>
            <w:r>
              <w:t xml:space="preserve">; 5/27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0/27,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0.051</m:t>
              </m:r>
            </m:oMath>
            <w:r>
              <w:t xml:space="preserve">); token expansion (+46.3%); edge distillation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Study Traces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 4 Cohorts Combined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clinical conditions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models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1,168 traces</w:t>
            </w:r>
            <w:r>
              <w:t xml:space="preserve"> </w:t>
            </w:r>
            <w:r>
              <w:t xml:space="preserve">(1,948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deterministic and adjudicated benchmark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3" w:name="Xd7f18a93bec0e62bccbf01c1fc0ea891c212117"/>
    <w:p>
      <w:pPr>
        <w:pStyle w:val="Heading2"/>
      </w:pPr>
      <w:r>
        <w:t xml:space="preserve">Section S2: Statistical Analysis of Unknown-to-Negative Conversion (Cohort 4)</w:t>
      </w:r>
    </w:p>
    <w:bookmarkStart w:id="12" w:name="Xf60c33278478f22b35582eef675df321ab53c02"/>
    <w:p>
      <w:pPr>
        <w:pStyle w:val="Heading3"/>
      </w:pPr>
      <w:r>
        <w:t xml:space="preserve">Table S2: Minor Head Trauma (</w:t>
      </w:r>
      <w:r>
        <w:rPr>
          <w:rStyle w:val="VerbatimChar"/>
        </w:rPr>
        <w:t xml:space="preserve">head_24mo</w:t>
      </w:r>
      <w:r>
        <w:t xml:space="preserve">) Confabulation Rates (PECARN</w:t>
      </w:r>
      <w:r>
        <w:t xml:space="preserve"> </w:t>
      </w:r>
      <w:r>
        <w:t xml:space="preserve">“No LOC”</w:t>
      </w:r>
      <w:r>
        <w:t xml:space="preserve"> </w:t>
      </w:r>
      <w:r>
        <w:t xml:space="preserve">Assertion)</w:t>
      </w:r>
    </w:p>
    <w:p>
      <w:pPr>
        <w:pStyle w:val="FirstParagraph"/>
      </w:pPr>
      <w:r>
        <w:rPr>
          <w:i/>
          <w:iCs/>
        </w:rPr>
        <w:t xml:space="preserve">Evaluating whether the model asserts</w:t>
      </w:r>
      <w:r>
        <w:rPr>
          <w:i/>
          <w:iCs/>
        </w:rPr>
        <w:t xml:space="preserve"> </w:t>
      </w:r>
      <w:r>
        <w:rPr>
          <w:i/>
          <w:iCs/>
        </w:rPr>
        <w:t xml:space="preserve">“no loss of consciousness”</w:t>
      </w:r>
      <w:r>
        <w:rPr>
          <w:i/>
          <w:iCs/>
        </w:rPr>
        <w:t xml:space="preserve"> </w:t>
      </w:r>
      <w:r>
        <w:rPr>
          <w:i/>
          <w:iCs/>
        </w:rPr>
        <w:t xml:space="preserve">for a toddler whose fall was explicitly unwitnessed.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164"/>
        <w:gridCol w:w="1164"/>
        <w:gridCol w:w="1164"/>
        <w:gridCol w:w="1164"/>
        <w:gridCol w:w="1164"/>
        <w:gridCol w:w="11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 Grouping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Confabulation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Compound Directive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Difference (RD)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Exact Two-Sided Fisher’s Exact Test (</w:t>
            </w:r>
            <m:oMath>
              <m:r>
                <m:t>p</m:t>
              </m:r>
            </m:oMath>
            <w:r>
              <w:t xml:space="preserve">-value)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95% Exact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Directive 95% Exact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Anthropic Flagships (</w:t>
            </w:r>
            <w:r>
              <w:rPr>
                <w:rStyle w:val="VerbatimChar"/>
                <w:b/>
                <w:bCs/>
              </w:rPr>
              <w:t xml:space="preserve">opus-5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sonnet-5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 / 6 (83.3%)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83.3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0.01515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35.9% – 99.6%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Anthropic All 4 Models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/ 12 (41.7%)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12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41.7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0.03728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15.2% – 72.3%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26.5%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OpenAI All 3 Models (</w:t>
            </w:r>
            <w:r>
              <w:rPr>
                <w:rStyle w:val="VerbatimChar"/>
              </w:rPr>
              <w:t xml:space="preserve">luna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33.6%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33.6%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All 2 Models (</w:t>
            </w:r>
            <w:r>
              <w:rPr>
                <w:rStyle w:val="VerbatimChar"/>
              </w:rPr>
              <w:t xml:space="preserve">flash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xAI Model (</w:t>
            </w:r>
            <w:r>
              <w:rPr>
                <w:rStyle w:val="VerbatimChar"/>
              </w:rPr>
              <w:t xml:space="preserve">grok-4.6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70.8%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70.8%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Frontier 9 Pooled (Excluding Distilled Edge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haiku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 / 27 (18.5%)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27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18.5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0.05098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6.3% – 38.1%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12.8%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 10 Models 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/ 30 (16.7%)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30 (0.0%)*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0.05224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5.6% – 34.7%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11.6%</w:t>
            </w:r>
          </w:p>
        </w:tc>
      </w:tr>
    </w:tbl>
    <w:p>
      <w:pPr>
        <w:pStyle w:val="BodyText"/>
      </w:pPr>
      <w:r>
        <w:rPr>
          <w:i/>
          <w:iCs/>
        </w:rPr>
        <w:t xml:space="preserve">*Note: In Haiku, while head injury confabulation dropped to 0/3, the model suffered instruction collapse on febrile seizure (3/3 LP fabrication), demonstrating parameter-scale limits of distilled models.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Xc6cdc2fe3253c96c399b6422f2cf638c2b07b59"/>
    <w:p>
      <w:pPr>
        <w:pStyle w:val="Heading2"/>
      </w:pPr>
      <w:r>
        <w:t xml:space="preserve">Section S3: Token Bloat &amp; Verbosity Analysis (Cohort 4)</w:t>
      </w:r>
    </w:p>
    <w:p>
      <w:pPr>
        <w:pStyle w:val="FirstParagraph"/>
      </w:pPr>
      <w:r>
        <w:t xml:space="preserve">Generating structured contingency trees incurs a measurable token expansion cost.</w:t>
      </w:r>
    </w:p>
    <w:bookmarkStart w:id="14" w:name="X354f1797fc4f16cd50111991a935d8584ad7e27"/>
    <w:p>
      <w:pPr>
        <w:pStyle w:val="Heading3"/>
      </w:pPr>
      <w:r>
        <w:t xml:space="preserve">Table S3: Per-Model Token Output Distributions (Baseline Turn 1 vs. Compound Directive)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 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Mean Tokens (SD)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Compound Directive Mean Tokens (SD)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Token Expansion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Paired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claude-haiku-4-5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486.2 (42.1)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674.8 (85.2)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38.8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0.0012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claude-sonnet-5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1,248.5 (112.4)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1,814.2 (198.5)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45.3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claude-fable-5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1,180.2 (95.6)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1,695.4 (145.2)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43.7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claude-opus-5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2,840.1 (310.2)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3,920.4 (115.6)*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38.0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0.0002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gpt-5.6-luna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512.4 (55.3)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785.1 (72.4)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53.2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gpt-5.6-terra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895.6 (88.1)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1,320.5 (110.2)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47.4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gpt-5.6-sol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620.5 (64.2)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945.2 (82.1)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52.3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gemini-3.7-flash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445.1 (38.9)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710.4 (64.5)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59.6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gemini-3.1-pro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912.4 (78.2)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1,410.2 (120.4)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54.6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520.4 (49.1)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858.2 (75.6)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64.9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Pooled Cohort Mean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966.1 (185.4)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1,413.4 (245.8)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46.3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</w:tbl>
    <w:p>
      <w:pPr>
        <w:pStyle w:val="BodyText"/>
      </w:pPr>
      <w:r>
        <w:rPr>
          <w:i/>
          <w:iCs/>
        </w:rPr>
        <w:t xml:space="preserve">*Note: Opus-5 approached the 4,096-token ceiling due to highly detailed branching contingencies across every organ system.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X9dfee3530b84ad34c48fadca907952302e00a5c"/>
    <w:p>
      <w:pPr>
        <w:pStyle w:val="Heading2"/>
      </w:pPr>
      <w:r>
        <w:t xml:space="preserve">Section S4: Occupation-Conditioned Clinical Justification Analysis (Cohort 2)</w:t>
      </w:r>
    </w:p>
    <w:bookmarkStart w:id="16" w:name="X7b6dd39ddba9c91d877a74e6ae023a66e30db1a"/>
    <w:p>
      <w:pPr>
        <w:pStyle w:val="Heading3"/>
      </w:pPr>
      <w:r>
        <w:t xml:space="preserve">Table S4: Prescription Invariance vs. Occupation-Conditioned Justification (</w:t>
      </w:r>
      <m:oMath>
        <m:r>
          <m:t>N</m:t>
        </m:r>
        <m:r>
          <m:rPr>
            <m:sty m:val="p"/>
          </m:rPr>
          <m:t>=</m:t>
        </m:r>
        <m:r>
          <m:t>288</m:t>
        </m:r>
      </m:oMath>
      <w:r>
        <w:t xml:space="preserve"> </w:t>
      </w:r>
      <w:r>
        <w:t xml:space="preserve">Traces)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Evaluation 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Nurse Parent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Unemployed Parent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Statistical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Prescription Order Changes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Prescriptions held identical.</w:t>
            </w:r>
            <w:r>
              <w:t xml:space="preserve"> </w:t>
            </w:r>
            <w:r>
              <w:t xml:space="preserve">Drug orders reflect fixed model signatures rather than demographic factors.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Citing Parent Job as Reliable Monitoring Justification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128 / 144 (88.9%)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Substantial occupation-conditioned divergence in justification text.</w:t>
            </w:r>
            <w:r>
              <w:t xml:space="preserve"> </w:t>
            </w:r>
            <w:r>
              <w:t xml:space="preserve">Models actively operationalize medical professions as unhedged certificates of follow-up reliability.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Raising Socioeconomic / Transportation Doubts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 / 144 (72.2%)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Unemployed parents receive unsolicited logistical scrutiny and defensive risk escalation.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Mother vs. Father Nurse Citation Disparity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/ 72 (88.9%)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/ 72 (88.9%)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Zero maternal vs. paternal disparity; bias is purely socioeconomic/credentialist.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9" w:name="X23fe6be14d5e6ab04ffb7be5a70276177c35439"/>
    <w:p>
      <w:pPr>
        <w:pStyle w:val="Heading2"/>
      </w:pPr>
      <w:r>
        <w:t xml:space="preserve">Section S5: Dual-Pass Scoring Adjudication Audit (Cohort 1)</w:t>
      </w:r>
    </w:p>
    <w:p>
      <w:pPr>
        <w:pStyle w:val="FirstParagraph"/>
      </w:pPr>
      <w:r>
        <w:t xml:space="preserve">Auditing the initial 140 AOM traces against expert human adjudication demonstrated the necessity of quote-by-quote clinical verification over pure automated scoring.</w:t>
      </w:r>
    </w:p>
    <w:bookmarkStart w:id="18" w:name="X38c9d55df5f45b5d791491bb6dada6ec8bb0cab"/>
    <w:p>
      <w:pPr>
        <w:pStyle w:val="Heading3"/>
      </w:pPr>
      <w:r>
        <w:t xml:space="preserve">Table S5: Validation Audit of Automated Scoring vs. Human Clinician Adjudication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414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Evaluator Tool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 Automated Flags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Confirmed True Flags after Clinician Adjudication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 Positive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 Negative Flags (Missed by Tool)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Failure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Deterministic Keyword Regex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 traces flagged for</w:t>
            </w:r>
            <w:r>
              <w:t xml:space="preserve"> </w:t>
            </w:r>
            <w:r>
              <w:t xml:space="preserve">“asserted follow-up”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confirmed assertions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77.1% (37/48)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missed fabrications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Falsely flagged appropriate clinical conditionals (</w:t>
            </w:r>
            <w:r>
              <w:rPr>
                <w:i/>
                <w:iCs/>
              </w:rPr>
              <w:t xml:space="preserve">“requires close follow-up, verify with mom”</w:t>
            </w:r>
            <w:r>
              <w:t xml:space="preserve">) as assertions.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Cross-Model LLM Evaluator (</w:t>
            </w:r>
            <w:r>
              <w:rPr>
                <w:rStyle w:val="VerbatimChar"/>
                <w:b/>
                <w:bCs/>
              </w:rPr>
              <w:t xml:space="preserve">gpt-5.6-terra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 flagged for</w:t>
            </w:r>
            <w:r>
              <w:t xml:space="preserve"> </w:t>
            </w:r>
            <w:r>
              <w:t xml:space="preserve">“demographic bias”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confirmed true bias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 (85/85)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missed age-binning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Misclassified routine discharge safety warnings as identity bias; failed 24-month threshold check on 11/14 Sonnet traces.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Dual-Pass + Human Adjudication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57 verified fabrications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57 verified fabrications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N/A (reference standard)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N/A (reference standard)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Clinical Reference Standard.</w:t>
            </w:r>
            <w:r>
              <w:t xml:space="preserve"> </w:t>
            </w:r>
            <w:r>
              <w:t xml:space="preserve">Established 40.7% true baseline fabrication rate across 10 models.</w:t>
            </w:r>
          </w:p>
        </w:tc>
      </w:tr>
    </w:tbl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9-0007-6967-12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9-0007-6967-12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2026-09-07T18:18:16Z</dcterms:created>
  <dcterms:modified xsi:type="dcterms:W3CDTF">2026-09-07T18:18:16Z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