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8963E"/>
          <w:sz w:val="20"/>
          <w:szCs w:val="20"/>
        </w:rPr>
        <w:t xml:space="preserve">MINI MANUAL DE IDENTIDADE VISUAL</w:t>
      </w:r>
    </w:p>
    <w:p>
      <w:pPr>
        <w:spacing w:after="300"/>
      </w:pPr>
      <w:r>
        <w:rPr>
          <w:b/>
          <w:bCs/>
          <w:color w:val="0E2A47"/>
          <w:sz w:val="56"/>
          <w:szCs w:val="56"/>
        </w:rPr>
        <w:t xml:space="preserve">Docka Seguros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Corretora especializada em RC Profissional, D&amp;O e Risco Cibernético para empresários e profissionais liberais.</w:t>
      </w:r>
    </w:p>
    <w:p>
      <w:pPr>
        <w:pStyle w:val="Heading1"/>
        <w:spacing w:after="150" w:before="300"/>
      </w:pPr>
      <w:r>
        <w:rPr>
          <w:b/>
          <w:bCs/>
          <w:color w:val="0E2A47"/>
          <w:sz w:val="30"/>
          <w:szCs w:val="30"/>
        </w:rPr>
        <w:t xml:space="preserve">1. Conceito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Posicionamento: "Eu ajudo empresários a compreender e proteger os riscos que podem interromper o crescimento da empresa, por meio de um método consultivo, ágil e humano — apoiado em anos de experiência dos consultores em grandes seguradoras e em tecnologia."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Atributos prioritários: técnica, inovadora, especialista.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Território visual: orientação e direção em meio ao risco — a bússola como metáfora do método consultivo que guia o cliente com precisão, não como enfeite náutico.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Público: exclusivamente pessoa jurídica (empresários e profissionais liberais). Não atende pessoa física.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Ícone: bússola reduzida a anel, quatro marcações cardeais e uma agulha — construída em traço único (uma só cor, pontas retas, sem preenchimento), para ler como precisão técnica, não como ilustração.</w:t>
      </w:r>
    </w:p>
    <w:p>
      <w:pPr>
        <w:pStyle w:val="Heading1"/>
        <w:spacing w:after="150" w:before="300"/>
      </w:pPr>
      <w:r>
        <w:rPr>
          <w:b/>
          <w:bCs/>
          <w:color w:val="0E2A47"/>
          <w:sz w:val="30"/>
          <w:szCs w:val="30"/>
        </w:rPr>
        <w:t xml:space="preserve">2. Logo principal e versões</w:t>
      </w:r>
    </w:p>
    <w:p>
      <w:pPr>
        <w:spacing w:after="60"/>
        <w:jc w:val="center"/>
      </w:pPr>
      <w:r>
        <w:drawing>
          <wp:inline distT="0" distB="0" distL="0" distR="0">
            <wp:extent cx="43815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5607A"/>
          <w:sz w:val="18"/>
          <w:szCs w:val="18"/>
        </w:rPr>
        <w:t xml:space="preserve">Versão principal — símbolo + nome (horizontal)</w:t>
      </w:r>
    </w:p>
    <w:p>
      <w:pPr>
        <w:spacing w:after="60"/>
        <w:jc w:val="center"/>
      </w:pPr>
      <w:r>
        <w:drawing>
          <wp:inline distT="0" distB="0" distL="0" distR="0">
            <wp:extent cx="2476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5607A"/>
          <w:sz w:val="18"/>
          <w:szCs w:val="18"/>
        </w:rPr>
        <w:t xml:space="preserve">Versão vertical — para formatos quadrados/altos (avatar de app, banners verticais)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E2A47"/>
          <w:sz w:val="30"/>
          <w:szCs w:val="30"/>
        </w:rPr>
        <w:t xml:space="preserve">3. Sistema completo</w:t>
      </w:r>
    </w:p>
    <w:p>
      <w:pPr>
        <w:spacing w:after="6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5607A"/>
          <w:sz w:val="18"/>
          <w:szCs w:val="18"/>
        </w:rPr>
        <w:t xml:space="preserve">Símbolo isolado</w:t>
      </w:r>
    </w:p>
    <w:p>
      <w:pPr>
        <w:spacing w:after="6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5607A"/>
          <w:sz w:val="18"/>
          <w:szCs w:val="18"/>
        </w:rPr>
        <w:t xml:space="preserve">Monograma (D)</w:t>
      </w:r>
    </w:p>
    <w:p>
      <w:pPr>
        <w:spacing w:after="60"/>
        <w:jc w:val="center"/>
      </w:pPr>
      <w:r>
        <w:drawing>
          <wp:inline distT="0" distB="0" distL="0" distR="0">
            <wp:extent cx="32385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5607A"/>
          <w:sz w:val="18"/>
          <w:szCs w:val="18"/>
        </w:rPr>
        <w:t xml:space="preserve">Logotipo tipográfico</w:t>
      </w:r>
    </w:p>
    <w:p>
      <w:pPr>
        <w:spacing w:after="60"/>
        <w:jc w:val="center"/>
      </w:pPr>
      <w:r>
        <w:drawing>
          <wp:inline distT="0" distB="0" distL="0" distR="0">
            <wp:extent cx="2095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5607A"/>
          <w:sz w:val="18"/>
          <w:szCs w:val="18"/>
        </w:rPr>
        <w:t xml:space="preserve">Emblema / selo</w:t>
      </w:r>
    </w:p>
    <w:p>
      <w:pPr>
        <w:spacing w:after="60"/>
        <w:jc w:val="center"/>
      </w:pPr>
      <w:r>
        <w:drawing>
          <wp:inline distT="0" distB="0" distL="0" distR="0">
            <wp:extent cx="43815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5607A"/>
          <w:sz w:val="18"/>
          <w:szCs w:val="18"/>
        </w:rPr>
        <w:t xml:space="preserve">Assinatura com descritor</w:t>
      </w:r>
    </w:p>
    <w:p>
      <w:pPr>
        <w:spacing w:after="6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5607A"/>
          <w:sz w:val="18"/>
          <w:szCs w:val="18"/>
        </w:rPr>
        <w:t xml:space="preserve">Versão reduzida / avatar (WhatsApp, redes sociais, favicon)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E2A47"/>
          <w:sz w:val="30"/>
          <w:szCs w:val="30"/>
        </w:rPr>
        <w:t xml:space="preserve">4. Paleta de cores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O símbolo é monocromático por padrão — uma única cor (navy) sobre fundo claro, branco sobre fundo navy. As demais cores do sistema ficam para o restante da marca (site, materiais, gráficos), nunca dentro do ícone.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c>
          <w:tcPr>
            <w:tcW w:type="dxa" w:w="2500"/>
            <w:shd w:fill="0E2A47" w:val="clea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0E2A47"/>
                <w:sz w:val="20"/>
                <w:szCs w:val="20"/>
              </w:rPr>
              <w:t xml:space="preserve">Navy (principal)</w:t>
            </w:r>
          </w:p>
          <w:p>
            <w:r>
              <w:rPr>
                <w:color w:val="45607A"/>
                <w:sz w:val="18"/>
                <w:szCs w:val="18"/>
              </w:rPr>
              <w:t xml:space="preserve">#0E2A47</w:t>
            </w:r>
          </w:p>
        </w:tc>
        <w:tc>
          <w:tcPr>
            <w:tcW w:type="dxa" w:w="4300"/>
          </w:tcPr>
          <w:p>
            <w:r>
              <w:rPr>
                <w:color w:val="2B2B2B"/>
                <w:sz w:val="20"/>
                <w:szCs w:val="20"/>
              </w:rPr>
              <w:t xml:space="preserve">Cor do símbolo e do wordmark — autoridade, precisão, mar profundo.</w:t>
            </w:r>
          </w:p>
        </w:tc>
      </w:tr>
      <w:tr>
        <w:tc>
          <w:tcPr>
            <w:tcW w:type="dxa" w:w="2500"/>
            <w:shd w:fill="C8963E" w:val="clea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0E2A47"/>
                <w:sz w:val="20"/>
                <w:szCs w:val="20"/>
              </w:rPr>
              <w:t xml:space="preserve">Âmbar (destaque)</w:t>
            </w:r>
          </w:p>
          <w:p>
            <w:r>
              <w:rPr>
                <w:color w:val="45607A"/>
                <w:sz w:val="18"/>
                <w:szCs w:val="18"/>
              </w:rPr>
              <w:t xml:space="preserve">#C8963E</w:t>
            </w:r>
          </w:p>
        </w:tc>
        <w:tc>
          <w:tcPr>
            <w:tcW w:type="dxa" w:w="4300"/>
          </w:tcPr>
          <w:p>
            <w:r>
              <w:rPr>
                <w:color w:val="2B2B2B"/>
                <w:sz w:val="20"/>
                <w:szCs w:val="20"/>
              </w:rPr>
              <w:t xml:space="preserve">Reservado para o sistema mais amplo (botões, links, chamadas) — não é usado dentro do ícone.</w:t>
            </w:r>
          </w:p>
        </w:tc>
      </w:tr>
      <w:tr>
        <w:tc>
          <w:tcPr>
            <w:tcW w:type="dxa" w:w="2500"/>
            <w:shd w:fill="45607A" w:val="clea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0E2A47"/>
                <w:sz w:val="20"/>
                <w:szCs w:val="20"/>
              </w:rPr>
              <w:t xml:space="preserve">Slate (secundária)</w:t>
            </w:r>
          </w:p>
          <w:p>
            <w:r>
              <w:rPr>
                <w:color w:val="45607A"/>
                <w:sz w:val="18"/>
                <w:szCs w:val="18"/>
              </w:rPr>
              <w:t xml:space="preserve">#45607A</w:t>
            </w:r>
          </w:p>
        </w:tc>
        <w:tc>
          <w:tcPr>
            <w:tcW w:type="dxa" w:w="4300"/>
          </w:tcPr>
          <w:p>
            <w:r>
              <w:rPr>
                <w:color w:val="2B2B2B"/>
                <w:sz w:val="20"/>
                <w:szCs w:val="20"/>
              </w:rPr>
              <w:t xml:space="preserve">Textos de apoio, subtítulos e versaletes.</w:t>
            </w:r>
          </w:p>
        </w:tc>
      </w:tr>
      <w:tr>
        <w:tc>
          <w:tcPr>
            <w:tcW w:type="dxa" w:w="2500"/>
            <w:shd w:fill="2B2B2B" w:val="clea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0E2A47"/>
                <w:sz w:val="20"/>
                <w:szCs w:val="20"/>
              </w:rPr>
              <w:t xml:space="preserve">Grafite (neutro)</w:t>
            </w:r>
          </w:p>
          <w:p>
            <w:r>
              <w:rPr>
                <w:color w:val="45607A"/>
                <w:sz w:val="18"/>
                <w:szCs w:val="18"/>
              </w:rPr>
              <w:t xml:space="preserve">#2B2B2B</w:t>
            </w:r>
          </w:p>
        </w:tc>
        <w:tc>
          <w:tcPr>
            <w:tcW w:type="dxa" w:w="4300"/>
          </w:tcPr>
          <w:p>
            <w:r>
              <w:rPr>
                <w:color w:val="2B2B2B"/>
                <w:sz w:val="20"/>
                <w:szCs w:val="20"/>
              </w:rPr>
              <w:t xml:space="preserve">Corpo de texto em documentos e propostas.</w:t>
            </w:r>
          </w:p>
        </w:tc>
      </w:tr>
      <w:tr>
        <w:tc>
          <w:tcPr>
            <w:tcW w:type="dxa" w:w="2500"/>
            <w:shd w:fill="F6F2EA" w:val="clear"/>
          </w:tcPr>
          <w:p>
            <w:r>
              <w:rPr>
                <w:sz w:val="21"/>
                <w:szCs w:val="21"/>
              </w:rPr>
              <w:t xml:space="preserve"> </w:t>
            </w:r>
          </w:p>
        </w:tc>
        <w:tc>
          <w:tcPr>
            <w:tcW w:type="dxa" w:w="2200"/>
          </w:tcPr>
          <w:p>
            <w:r>
              <w:rPr>
                <w:b/>
                <w:bCs/>
                <w:color w:val="0E2A47"/>
                <w:sz w:val="20"/>
                <w:szCs w:val="20"/>
              </w:rPr>
              <w:t xml:space="preserve">Creme (neutro)</w:t>
            </w:r>
          </w:p>
          <w:p>
            <w:r>
              <w:rPr>
                <w:color w:val="45607A"/>
                <w:sz w:val="18"/>
                <w:szCs w:val="18"/>
              </w:rPr>
              <w:t xml:space="preserve">#F6F2EA</w:t>
            </w:r>
          </w:p>
        </w:tc>
        <w:tc>
          <w:tcPr>
            <w:tcW w:type="dxa" w:w="4300"/>
          </w:tcPr>
          <w:p>
            <w:r>
              <w:rPr>
                <w:color w:val="2B2B2B"/>
                <w:sz w:val="20"/>
                <w:szCs w:val="20"/>
              </w:rPr>
              <w:t xml:space="preserve">Fundos claros, respiro editorial.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0E2A47"/>
          <w:sz w:val="30"/>
          <w:szCs w:val="30"/>
        </w:rPr>
        <w:t xml:space="preserve">5. Tipografia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Wordmark: sans-serif, peso semibold, caixa alta e baixa ("Docka Seguros") — legível, técnica, sem serifas clássicas.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Subtítulos e descritor: mesma família, peso medium, versalete com espaçamento entre letras (ex.: "GESTÃO DE RISCOS CORPORATIVOS").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Recomendação de família comercial: Inter, Public Sans ou Söhne — todas com licença de uso comercial e caracteres completos em PT-BR.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Máximo de duas famílias no sistema; não distorcer, condensar ou inclinar manualmente.</w:t>
      </w:r>
    </w:p>
    <w:p>
      <w:pPr>
        <w:pStyle w:val="Heading1"/>
        <w:spacing w:after="150" w:before="300"/>
      </w:pPr>
      <w:r>
        <w:rPr>
          <w:b/>
          <w:bCs/>
          <w:color w:val="0E2A47"/>
          <w:sz w:val="30"/>
          <w:szCs w:val="30"/>
        </w:rPr>
        <w:t xml:space="preserve">6. Área de proteção e tamanho mínimo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Reserve ao redor do símbolo um espaço livre equivalente ao raio do anel da bússola. Nenhum elemento — texto, borda, foto — deve invadir essa área.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Tamanho mínimo: símbolo isolado a partir de 24px (avatar/favicon); versão horizontal completa a partir de 120px de largura. Abaixo disso, use apenas a versão reduzida/avatar.</w:t>
      </w:r>
    </w:p>
    <w:p>
      <w:pPr>
        <w:pStyle w:val="Heading1"/>
        <w:spacing w:after="150" w:before="300"/>
      </w:pPr>
      <w:r>
        <w:rPr>
          <w:b/>
          <w:bCs/>
          <w:color w:val="0E2A47"/>
          <w:sz w:val="30"/>
          <w:szCs w:val="30"/>
        </w:rPr>
        <w:t xml:space="preserve">7. Fundos permitidos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Fundo claro (branco/creme): símbolo e texto em navy, cor única.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Fundo escuro (navy): símbolo e texto em branco, subtítulo em slate claro.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Fotografia: usar apenas a versão reduzida/avatar sobre um selo sólido (círculo navy), nunca o logotipo completo direto sobre a imagem.</w:t>
      </w:r>
    </w:p>
    <w:p>
      <w:pPr>
        <w:pStyle w:val="Heading1"/>
        <w:spacing w:after="150" w:before="300"/>
      </w:pPr>
      <w:r>
        <w:rPr>
          <w:b/>
          <w:bCs/>
          <w:color w:val="0E2A47"/>
          <w:sz w:val="30"/>
          <w:szCs w:val="30"/>
        </w:rPr>
        <w:t xml:space="preserve">8. Usos incorretos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Não distorcer, esticar, girar ou inclinar o símbolo ou o wordmark.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Não arredondar as pontas do traço (butt cap) nem preencher o ícone com cor sólida.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Não aplicar sombra, gradiente, contorno duplo ou efeitos 3D.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Não misturar duas cores dentro do símbolo — é monocromático por definição.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Não usar o descritor "Gestão de Riscos Corporativos" em tamanhos menores que 8pt — nesses casos, remover o descritor.</w:t>
      </w:r>
    </w:p>
    <w:p>
      <w:pPr>
        <w:pStyle w:val="Heading1"/>
        <w:spacing w:after="150" w:before="300"/>
      </w:pPr>
      <w:r>
        <w:rPr>
          <w:b/>
          <w:bCs/>
          <w:color w:val="0E2A47"/>
          <w:sz w:val="30"/>
          <w:szCs w:val="30"/>
        </w:rPr>
        <w:t xml:space="preserve">9. Aplicações prioritárias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WhatsApp Business e LinkedIn: avatar (símbolo em círculo navy).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Propostas comerciais e apresentações: versão horizontal completa no cabeçalho.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Assinatura de e-mail: assinatura com descritor, em tamanho reduzido.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Site e favicon: versão reduzida/avatar.</w:t>
      </w:r>
    </w:p>
    <w:p>
      <w:pPr>
        <w:pStyle w:val="Heading1"/>
        <w:spacing w:after="150" w:before="300"/>
      </w:pPr>
      <w:r>
        <w:rPr>
          <w:b/>
          <w:bCs/>
          <w:color w:val="0E2A47"/>
          <w:sz w:val="30"/>
          <w:szCs w:val="30"/>
        </w:rPr>
        <w:t xml:space="preserve">10. Próximos passos recomendados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Pesquisar disponibilidade da marca "Docka Seguros" no INPI antes de investir em papelaria e sinalização.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Confirmar licença comercial da família tipográfica escolhida (Inter, Public Sans ou Söhne).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Vetorizar os arquivos finais em Illustrator/Figma para entrega em AI/EPS, além dos SVGs já gerados.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B2B2B"/>
          <w:sz w:val="21"/>
          <w:szCs w:val="21"/>
        </w:rPr>
        <w:t xml:space="preserve">Testar o símbolo impresso a 2cm e em preto e branco antes da aprovação final.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1d6432db587398b2a55c5f2c89ab2a2a605da2.png"/><Relationship Id="rId8" Type="http://schemas.openxmlformats.org/officeDocument/2006/relationships/image" Target="media/b592aacdbe6625e927cb96e3442af25b68736ce6.png"/><Relationship Id="rId9" Type="http://schemas.openxmlformats.org/officeDocument/2006/relationships/image" Target="media/62051a5fcac93ebd2c580d888e82f42425593c8c.png"/><Relationship Id="rId10" Type="http://schemas.openxmlformats.org/officeDocument/2006/relationships/image" Target="media/677e49ed613b9e5a3d3b2d95ed603df0ea52b355.png"/><Relationship Id="rId11" Type="http://schemas.openxmlformats.org/officeDocument/2006/relationships/image" Target="media/93797ad7fa8b5429d6181035138e48cfcbf44a05.png"/><Relationship Id="rId12" Type="http://schemas.openxmlformats.org/officeDocument/2006/relationships/image" Target="media/a2cacfef2415f7b728e7bbc3eacb4e996a10ee61.png"/><Relationship Id="rId13" Type="http://schemas.openxmlformats.org/officeDocument/2006/relationships/image" Target="media/f725d2c471739b0cc5a14957a42339aca38e03c2.png"/><Relationship Id="rId14" Type="http://schemas.openxmlformats.org/officeDocument/2006/relationships/image" Target="media/c24fe7b1b9bc125b36a7dd97c4b3926eff57092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2026-07-16T14:10:44.682Z</dcterms:created>
  <dcterms:modified xsi:type="dcterms:W3CDTF">2026-07-16T14:10:44.682Z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