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6"/>
      </w:pPr>
      <w:r>
        <w:rPr>
          <w:rFonts w:ascii="Arial" w:hAnsi="Arial" w:cs="Arial"/>
          <w:sz w:val="53"/>
          <w:sz-cs w:val="53"/>
          <w:b/>
          <w:spacing w:val="0"/>
          <w:color w:val="0D121F"/>
        </w:rPr>
        <w:t xml:space="preserve">How we buy stock today vs the Service-Level model (SSM): a leadership summary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In one line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Today we set stock cover by a rule of thumb (a fixed number of weeks). SSM sets it by two facts about each product: how unpredictable its demand is, and the availability we choose to promise. The result is the right buffer on every line: no more, no less.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How we order today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Every product holds the same fixed weeks of cover (say 12 weeks), whether it sells like clockwork or in unpredictable bursts.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Anecdote: a steady navy beach towel and a spiky novelty print both get 12 weeks. The steady one ends up over-stocked with cash tied up on the shelf; the spiky one still runs out. One rule, two wrong answers.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How SSM changes it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SSM sizes each product's buffer ("safety stock") from: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1.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How lumpy its demand is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(its volatility), measured from sales history; and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The service level we choose by tier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 products 99% availability, B 97%, C 93%).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Predictable lines get a leaner buffer; volatile lines get a bigger one. We only carry extra stock where it actually prevents a stockout.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Anecdote: we just loaded 2 years of stock history. On the old thin data, US warehouse demand looked very volatile, so the model wanted a 99% buffer. With the full history it is clearly steadier, so the model now recommends 95%. That means carry less, release cash, with negligible extra stockout risk. More data, sharper call.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Seasonal ranges and the "produce in September" requirement (SS27)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Seasonal ranges (SS27 is about 85 products, roughly £293k of stock at cost) have to be produced in one shot, up front. The factory lead time is about 17 weeks, so there is no chance to re-order mid-season: we get one bite.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Our "Complex Rules" engine lets us set the instruction plainly: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for SS27, place the whole season's order in the September window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That guarantees production starts in September, arrives around January, and is on the shelf comfortably before the February launch, with a few weeks of slack for the large volumes and any factory slippage.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old default cut it to the wire: it ordered in October to land right on the launch date, with zero buffer. If a big order slipped, we missed the launch. The rule removes that risk by committing early on purpose.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SSM then sizes that one big September order: the full season's demand plus the tier-based safety buffer.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Impact on stock buying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Buy to a chosen availability target, not a blanket weeks-of-cover number.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Seasonal becomes one deliberate up-front commitment in September, not a mid-season scramble.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mix shifts: less on predictable, over-stocked lines; more on genuinely volatile ones.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Impact on cash flow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Seasonal money moves earlier, larger, and more concentrated.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SS27 season (about £293k) is committed in September (deposit paid on order), lands in January, and sells from February. Cash goes out roughly 4 to 5 months before the revenue arrives. That is the deliberate price of never missing a launch.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The core range releases cash.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SSM trims over-cover on steady lines. Example: the US 3PL position is currently carrying about 2.4 years of cover, a large amount of working capital sitting idle that can be freed up.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Net effect: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seasonal is a bigger, earlier, planned outflow; the everyday range frees cash. They partly offset. The real win is that both are now deliberate and visible, rather than accidental.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Impact on stock holding and inventory management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Inventory is right-sized: buffers matched to real volatility and the availability we promise.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Fewer stockouts on the products that matter (A tier); less dead and over-stock on predictable lines.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Full visibility: the backtest shows, per market and warehouse, whether we are over-stocked or tight, and how much cash is held, so we can act on it.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Benefits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Higher availability where it counts (A products), so fewer lost sales.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Cash released from over-stocked, predictable lines.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Seasonal launches de-risked by the guaranteed September production start.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Decisions are data-driven and auditable, not gut-feel.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Risks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The seasonal up-front bet is large and early.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season's forecast is wrong, we are more exposed because we bought it all in September. Mitigation: we set the service level per tier and can dial the risk per range.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The model is only as good as its data.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relies on sales and stock history; we now have 2 years, which is why the recommendations just got sharper.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 limitation we are fixing: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products launching more than about 6 months out, the safety maths currently look at today's demand rather than demand around the launch, so the seasonal buffer for far-future launches is understated until we finish that enhancement.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Change management.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Moving off "12 weeks for everything" needs trust in the numbers. We are rolling it on one market at a time and measuring the buy-plan impact at each step.</w:t>
      </w:r>
    </w:p>
    <w:p>
      <w:pPr>
        <w:spacing w:after="106"/>
      </w:pPr>
      <w:r>
        <w:rPr>
          <w:rFonts w:ascii="Arial" w:hAnsi="Arial" w:cs="Arial"/>
          <w:sz w:val="37"/>
          <w:sz-cs w:val="37"/>
          <w:b/>
          <w:spacing w:val="0"/>
          <w:color w:val="172B4C"/>
        </w:rPr>
        <w:t xml:space="preserve">Where we are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Built, and opt-in per market and warehouse (off by default, so nothing changes until we choose to switch it on).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seasonal up-front ordering rule (the September commitment) is already in the plan.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 years of stock history now loaded, sharpening the recommendations.</w:t>
      </w:r>
    </w:p>
    <w:p>
      <w:pPr>
        <w:ind w:left="720" w:first-line="-720"/>
        <w:spacing w:after="53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Next: switch it on for the clear-cut markets (UK and EU 3PL), release the US over-stock, and finish the launch-timing enhancement.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