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0F766E"/>
          <w:sz w:val="17"/>
        </w:rPr>
        <w:t>B CORP 2025  ·  DATA RECONCILIATION</w:t>
      </w:r>
    </w:p>
    <w:p>
      <w:pPr>
        <w:spacing w:after="120"/>
      </w:pPr>
      <w:r>
        <w:rPr>
          <w:rFonts w:ascii="Cambria" w:hAnsi="Cambria"/>
          <w:b/>
          <w:i w:val="0"/>
          <w:color w:val="15211F"/>
          <w:sz w:val="48"/>
        </w:rPr>
        <w:t>Did we really sell more than we imported?</w:t>
      </w:r>
    </w:p>
    <w:p>
      <w:pPr>
        <w:spacing w:after="80"/>
      </w:pPr>
      <w:r>
        <w:rPr>
          <w:rFonts w:ascii="Calibri" w:hAnsi="Calibri"/>
          <w:b w:val="0"/>
          <w:i w:val="0"/>
          <w:color w:val="7C8785"/>
          <w:sz w:val="19"/>
        </w:rPr>
        <w:t xml:space="preserve">Prepared for </w:t>
      </w:r>
      <w:r>
        <w:rPr>
          <w:rFonts w:ascii="Calibri" w:hAnsi="Calibri"/>
          <w:b w:val="0"/>
          <w:i w:val="0"/>
          <w:color w:val="4A5654"/>
          <w:sz w:val="19"/>
        </w:rPr>
        <w:t xml:space="preserve">Josh &amp; Andy     </w:t>
      </w:r>
      <w:r>
        <w:rPr>
          <w:rFonts w:ascii="Calibri" w:hAnsi="Calibri"/>
          <w:b w:val="0"/>
          <w:i w:val="0"/>
          <w:color w:val="7C8785"/>
          <w:sz w:val="19"/>
        </w:rPr>
        <w:t xml:space="preserve">By </w:t>
      </w:r>
      <w:r>
        <w:rPr>
          <w:rFonts w:ascii="Calibri" w:hAnsi="Calibri"/>
          <w:b w:val="0"/>
          <w:i w:val="0"/>
          <w:color w:val="4A5654"/>
          <w:sz w:val="19"/>
        </w:rPr>
        <w:t xml:space="preserve">Ben, Dock &amp; Bay     </w:t>
      </w:r>
      <w:r>
        <w:rPr>
          <w:rFonts w:ascii="Calibri" w:hAnsi="Calibri"/>
          <w:b w:val="0"/>
          <w:i w:val="0"/>
          <w:color w:val="7C8785"/>
          <w:sz w:val="19"/>
        </w:rPr>
        <w:t xml:space="preserve">Date </w:t>
      </w:r>
      <w:r>
        <w:rPr>
          <w:rFonts w:ascii="Calibri" w:hAnsi="Calibri"/>
          <w:b w:val="0"/>
          <w:i w:val="0"/>
          <w:color w:val="4A5654"/>
          <w:sz w:val="19"/>
        </w:rPr>
        <w:t xml:space="preserve">15 September 2026     </w:t>
      </w:r>
      <w:r>
        <w:rPr>
          <w:rFonts w:ascii="Calibri" w:hAnsi="Calibri"/>
          <w:b w:val="0"/>
          <w:i w:val="0"/>
          <w:color w:val="7C8785"/>
          <w:sz w:val="19"/>
        </w:rPr>
        <w:t xml:space="preserve">Unit </w:t>
      </w:r>
      <w:r>
        <w:rPr>
          <w:rFonts w:ascii="Calibri" w:hAnsi="Calibri"/>
          <w:b w:val="0"/>
          <w:i w:val="0"/>
          <w:color w:val="4A5654"/>
          <w:sz w:val="19"/>
        </w:rPr>
        <w:t>pieces</w:t>
      </w:r>
    </w:p>
    <w:p>
      <w:pPr>
        <w:spacing w:after="200"/>
        <w:pBdr>
          <w:bottom w:val="single" w:sz="6" w:space="1" w:color="DCE2E1"/>
        </w:pBdr>
      </w:pPr>
    </w:p>
    <w:p>
      <w:pPr>
        <w:spacing w:after="240"/>
      </w:pPr>
      <w:r>
        <w:rPr>
          <w:rFonts w:ascii="Calibri" w:hAnsi="Calibri"/>
          <w:b w:val="0"/>
          <w:i w:val="0"/>
          <w:color w:val="4A5654"/>
          <w:sz w:val="24"/>
        </w:rPr>
        <w:t>Josh asked us to check a headline claim: that across 2025 we imported 1,154,344 pieces and sold 1,584,777, meaning we sold 430,433 more than we brought in. The import figure holds up. Once direct to client orders are added, sales come out at 1,139,246, almost exactly level with imports, but still well short of the 1,584,777 quoted.</w:t>
      </w:r>
    </w:p>
    <w:tbl>
      <w:tblPr>
        <w:tblW w:type="auto" w:w="0"/>
        <w:jc w:val="center"/>
        <w:tblLook w:firstColumn="1" w:firstRow="1" w:lastColumn="0" w:lastRow="0" w:noHBand="0" w:noVBand="1" w:val="04A0"/>
      </w:tblPr>
      <w:tblGrid>
        <w:gridCol w:w="8640"/>
      </w:tblGrid>
      <w:tr>
        <w:tc>
          <w:tcPr>
            <w:tcW w:type="dxa" w:w="8640"/>
            <w:shd w:val="clear" w:color="auto" w:fill="FBF3E8"/>
            <w:tcMar>
              <w:top w:w="160" w:type="dxa"/>
              <w:bottom w:w="160" w:type="dxa"/>
              <w:start w:w="220" w:type="dxa"/>
              <w:end w:w="220" w:type="dxa"/>
            </w:tcMar>
            <w:tcBorders>
              <w:start w:val="single" w:sz="28" w:space="0" w:color="B45309"/>
            </w:tcBorders>
          </w:tcPr>
          <w:p>
            <w:pPr>
              <w:spacing w:after="120"/>
            </w:pPr>
            <w:r>
              <w:rPr>
                <w:rFonts w:ascii="Calibri" w:hAnsi="Calibri"/>
                <w:b/>
                <w:i w:val="0"/>
                <w:color w:val="B45309"/>
                <w:sz w:val="17"/>
              </w:rPr>
              <w:t>VERDICT · HALF RIGHT</w:t>
            </w:r>
          </w:p>
          <w:p>
            <w:pPr>
              <w:spacing w:after="120"/>
            </w:pPr>
            <w:r>
              <w:rPr>
                <w:rFonts w:ascii="Calibri" w:hAnsi="Calibri"/>
                <w:b/>
                <w:i w:val="0"/>
                <w:color w:val="15211F"/>
                <w:sz w:val="22"/>
              </w:rPr>
              <w:t xml:space="preserve">Imports check out. </w:t>
            </w:r>
            <w:r>
              <w:rPr>
                <w:rFonts w:ascii="Calibri" w:hAnsi="Calibri"/>
                <w:b w:val="0"/>
                <w:i w:val="0"/>
                <w:color w:val="4A5654"/>
                <w:sz w:val="22"/>
              </w:rPr>
              <w:t>The import total reconciles to the purchase order data almost exactly (1,154,372 vs the quoted 1,154,344).</w:t>
            </w:r>
          </w:p>
          <w:p>
            <w:pPr>
              <w:spacing w:after="0"/>
            </w:pPr>
            <w:r>
              <w:rPr>
                <w:rFonts w:ascii="Calibri" w:hAnsi="Calibri"/>
                <w:b/>
                <w:i w:val="0"/>
                <w:color w:val="15211F"/>
                <w:sz w:val="22"/>
              </w:rPr>
              <w:t xml:space="preserve">Sales do not. </w:t>
            </w:r>
            <w:r>
              <w:rPr>
                <w:rFonts w:ascii="Calibri" w:hAnsi="Calibri"/>
                <w:b w:val="0"/>
                <w:i w:val="0"/>
                <w:color w:val="4A5654"/>
                <w:sz w:val="22"/>
              </w:rPr>
              <w:t>With direct to client orders included, sales total 1,139,246 pieces, essentially level with imports (we imported about 15,000 more, a 1.3% net stock build). That is the plausible picture, but it is still 445,531 below the quoted 1,584,777, and sales did not exceed imports.</w:t>
            </w:r>
          </w:p>
        </w:tc>
      </w:tr>
    </w:tbl>
    <w:p>
      <w:pPr>
        <w:spacing w:after="40"/>
      </w:pPr>
    </w:p>
    <w:p>
      <w:pPr>
        <w:spacing w:before="360" w:after="80"/>
        <w:pBdr>
          <w:bottom w:val="single" w:sz="18" w:space="4" w:color="0F766E"/>
        </w:pBdr>
      </w:pPr>
      <w:r>
        <w:rPr>
          <w:rFonts w:ascii="Cambria" w:hAnsi="Cambria"/>
          <w:b/>
          <w:i w:val="0"/>
          <w:color w:val="15211F"/>
          <w:sz w:val="29"/>
        </w:rPr>
        <w:t>The three numbers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F4F7F7"/>
            <w:tcMar>
              <w:top w:w="60" w:type="dxa"/>
              <w:bottom w:w="60" w:type="dxa"/>
              <w:start w:w="120" w:type="dxa"/>
              <w:end w:w="120" w:type="dxa"/>
            </w:tcMar>
          </w:tcPr>
          <w:p>
            <w:r>
              <w:rPr>
                <w:rFonts w:ascii="Calibri" w:hAnsi="Calibri"/>
                <w:b/>
                <w:i w:val="0"/>
                <w:color w:val="7C8785"/>
                <w:sz w:val="17"/>
              </w:rPr>
              <w:t>MEASURE</w:t>
            </w:r>
          </w:p>
        </w:tc>
        <w:tc>
          <w:tcPr>
            <w:tcW w:type="dxa" w:w="2880"/>
            <w:shd w:val="clear" w:color="auto" w:fill="F4F7F7"/>
            <w:tcMar>
              <w:top w:w="60" w:type="dxa"/>
              <w:bottom w:w="60" w:type="dxa"/>
              <w:start w:w="120" w:type="dxa"/>
              <w:end w:w="120" w:type="dxa"/>
            </w:tcMar>
          </w:tcPr>
          <w:p>
            <w:pPr>
              <w:jc w:val="right"/>
            </w:pPr>
            <w:r>
              <w:rPr>
                <w:rFonts w:ascii="Calibri" w:hAnsi="Calibri"/>
                <w:b/>
                <w:i w:val="0"/>
                <w:color w:val="7C8785"/>
                <w:sz w:val="17"/>
              </w:rPr>
              <w:t>PIECES</w:t>
            </w:r>
          </w:p>
        </w:tc>
        <w:tc>
          <w:tcPr>
            <w:tcW w:type="dxa" w:w="2880"/>
            <w:shd w:val="clear" w:color="auto" w:fill="F4F7F7"/>
            <w:tcMar>
              <w:top w:w="60" w:type="dxa"/>
              <w:bottom w:w="60" w:type="dxa"/>
              <w:start w:w="120" w:type="dxa"/>
              <w:end w:w="120" w:type="dxa"/>
            </w:tcMar>
          </w:tcPr>
          <w:p>
            <w:pPr>
              <w:jc w:val="right"/>
            </w:pPr>
            <w:r>
              <w:rPr>
                <w:rFonts w:ascii="Calibri" w:hAnsi="Calibri"/>
                <w:b/>
                <w:i w:val="0"/>
                <w:color w:val="7C8785"/>
                <w:sz w:val="17"/>
              </w:rPr>
              <w:t>AGAINST THE CLAIM</w:t>
            </w:r>
          </w:p>
        </w:tc>
      </w:tr>
      <w:tr>
        <w:tc>
          <w:tcPr>
            <w:tcW w:type="dxa" w:w="2880"/>
            <w:tcMar>
              <w:top w:w="60" w:type="dxa"/>
              <w:bottom w:w="60" w:type="dxa"/>
              <w:start w:w="120" w:type="dxa"/>
              <w:end w:w="120" w:type="dxa"/>
            </w:tcMar>
          </w:tcPr>
          <w:p>
            <w:r>
              <w:rPr>
                <w:rFonts w:ascii="Calibri" w:hAnsi="Calibri"/>
                <w:b w:val="0"/>
                <w:i w:val="0"/>
                <w:color w:val="15211F"/>
                <w:sz w:val="21"/>
              </w:rPr>
              <w:t>Imports (purchase order data)</w:t>
            </w:r>
          </w:p>
        </w:tc>
        <w:tc>
          <w:tcPr>
            <w:tcW w:type="dxa" w:w="2880"/>
            <w:tcMar>
              <w:top w:w="60" w:type="dxa"/>
              <w:bottom w:w="60" w:type="dxa"/>
              <w:start w:w="120" w:type="dxa"/>
              <w:end w:w="120" w:type="dxa"/>
            </w:tcMar>
          </w:tcPr>
          <w:p>
            <w:pPr>
              <w:jc w:val="right"/>
            </w:pPr>
            <w:r>
              <w:rPr>
                <w:rFonts w:ascii="Consolas" w:hAnsi="Consolas"/>
                <w:b/>
                <w:i w:val="0"/>
                <w:color w:val="15803D"/>
                <w:sz w:val="24"/>
              </w:rPr>
              <w:t>1,154,372</w:t>
            </w:r>
          </w:p>
        </w:tc>
        <w:tc>
          <w:tcPr>
            <w:tcW w:type="dxa" w:w="2880"/>
            <w:tcMar>
              <w:top w:w="60" w:type="dxa"/>
              <w:bottom w:w="60" w:type="dxa"/>
              <w:start w:w="120" w:type="dxa"/>
              <w:end w:w="120" w:type="dxa"/>
            </w:tcMar>
          </w:tcPr>
          <w:p>
            <w:pPr>
              <w:jc w:val="right"/>
            </w:pPr>
            <w:r>
              <w:rPr>
                <w:rFonts w:ascii="Calibri" w:hAnsi="Calibri"/>
                <w:b w:val="0"/>
                <w:i w:val="0"/>
                <w:color w:val="4A5654"/>
                <w:sz w:val="18"/>
              </w:rPr>
              <w:t>matches quoted 1,154,344</w:t>
            </w:r>
          </w:p>
        </w:tc>
      </w:tr>
      <w:tr>
        <w:tc>
          <w:tcPr>
            <w:tcW w:type="dxa" w:w="2880"/>
            <w:tcMar>
              <w:top w:w="60" w:type="dxa"/>
              <w:bottom w:w="60" w:type="dxa"/>
              <w:start w:w="120" w:type="dxa"/>
              <w:end w:w="120" w:type="dxa"/>
            </w:tcMar>
          </w:tcPr>
          <w:p>
            <w:r>
              <w:rPr>
                <w:rFonts w:ascii="Calibri" w:hAnsi="Calibri"/>
                <w:b w:val="0"/>
                <w:i w:val="0"/>
                <w:color w:val="15211F"/>
                <w:sz w:val="21"/>
              </w:rPr>
              <w:t>Sales, incl. direct to client</w:t>
            </w:r>
          </w:p>
        </w:tc>
        <w:tc>
          <w:tcPr>
            <w:tcW w:type="dxa" w:w="2880"/>
            <w:tcMar>
              <w:top w:w="60" w:type="dxa"/>
              <w:bottom w:w="60" w:type="dxa"/>
              <w:start w:w="120" w:type="dxa"/>
              <w:end w:w="120" w:type="dxa"/>
            </w:tcMar>
          </w:tcPr>
          <w:p>
            <w:pPr>
              <w:jc w:val="right"/>
            </w:pPr>
            <w:r>
              <w:rPr>
                <w:rFonts w:ascii="Consolas" w:hAnsi="Consolas"/>
                <w:b/>
                <w:i w:val="0"/>
                <w:color w:val="B4241C"/>
                <w:sz w:val="24"/>
              </w:rPr>
              <w:t>1,139,246</w:t>
            </w:r>
          </w:p>
        </w:tc>
        <w:tc>
          <w:tcPr>
            <w:tcW w:type="dxa" w:w="2880"/>
            <w:tcMar>
              <w:top w:w="60" w:type="dxa"/>
              <w:bottom w:w="60" w:type="dxa"/>
              <w:start w:w="120" w:type="dxa"/>
              <w:end w:w="120" w:type="dxa"/>
            </w:tcMar>
          </w:tcPr>
          <w:p>
            <w:pPr>
              <w:jc w:val="right"/>
            </w:pPr>
            <w:r>
              <w:rPr>
                <w:rFonts w:ascii="Calibri" w:hAnsi="Calibri"/>
                <w:b w:val="0"/>
                <w:i w:val="0"/>
                <w:color w:val="4A5654"/>
                <w:sz w:val="18"/>
              </w:rPr>
              <w:t>445,531 below quoted 1,584,777</w:t>
            </w:r>
          </w:p>
        </w:tc>
      </w:tr>
      <w:tr>
        <w:tc>
          <w:tcPr>
            <w:tcW w:type="dxa" w:w="2880"/>
            <w:tcMar>
              <w:top w:w="60" w:type="dxa"/>
              <w:bottom w:w="60" w:type="dxa"/>
              <w:start w:w="120" w:type="dxa"/>
              <w:end w:w="120" w:type="dxa"/>
            </w:tcMar>
          </w:tcPr>
          <w:p>
            <w:r>
              <w:rPr>
                <w:rFonts w:ascii="Calibri" w:hAnsi="Calibri"/>
                <w:b w:val="0"/>
                <w:i w:val="0"/>
                <w:color w:val="15211F"/>
                <w:sz w:val="21"/>
              </w:rPr>
              <w:t>Net position on real data</w:t>
            </w:r>
          </w:p>
        </w:tc>
        <w:tc>
          <w:tcPr>
            <w:tcW w:type="dxa" w:w="2880"/>
            <w:tcMar>
              <w:top w:w="60" w:type="dxa"/>
              <w:bottom w:w="60" w:type="dxa"/>
              <w:start w:w="120" w:type="dxa"/>
              <w:end w:w="120" w:type="dxa"/>
            </w:tcMar>
          </w:tcPr>
          <w:p>
            <w:pPr>
              <w:jc w:val="right"/>
            </w:pPr>
            <w:r>
              <w:rPr>
                <w:rFonts w:ascii="Consolas" w:hAnsi="Consolas"/>
                <w:b/>
                <w:i w:val="0"/>
                <w:color w:val="15211F"/>
                <w:sz w:val="24"/>
              </w:rPr>
              <w:t>+15,126</w:t>
            </w:r>
          </w:p>
        </w:tc>
        <w:tc>
          <w:tcPr>
            <w:tcW w:type="dxa" w:w="2880"/>
            <w:tcMar>
              <w:top w:w="60" w:type="dxa"/>
              <w:bottom w:w="60" w:type="dxa"/>
              <w:start w:w="120" w:type="dxa"/>
              <w:end w:w="120" w:type="dxa"/>
            </w:tcMar>
          </w:tcPr>
          <w:p>
            <w:pPr>
              <w:jc w:val="right"/>
            </w:pPr>
            <w:r>
              <w:rPr>
                <w:rFonts w:ascii="Calibri" w:hAnsi="Calibri"/>
                <w:b w:val="0"/>
                <w:i w:val="0"/>
                <w:color w:val="4A5654"/>
                <w:sz w:val="18"/>
              </w:rPr>
              <w:t>imported ~1.3% more than sold</w:t>
            </w:r>
          </w:p>
        </w:tc>
      </w:tr>
    </w:tbl>
    <w:p>
      <w:pPr>
        <w:spacing w:before="360" w:after="80"/>
        <w:pBdr>
          <w:bottom w:val="single" w:sz="18" w:space="4" w:color="0F766E"/>
        </w:pBdr>
      </w:pPr>
      <w:r>
        <w:rPr>
          <w:rFonts w:ascii="Cambria" w:hAnsi="Cambria"/>
          <w:b/>
          <w:i w:val="0"/>
          <w:color w:val="15211F"/>
          <w:sz w:val="29"/>
        </w:rPr>
        <w:t>How each figure was measured</w:t>
      </w:r>
    </w:p>
    <w:p>
      <w:pPr>
        <w:spacing w:after="160"/>
      </w:pPr>
      <w:r>
        <w:rPr>
          <w:rFonts w:ascii="Calibri" w:hAnsi="Calibri"/>
          <w:b/>
          <w:i w:val="0"/>
          <w:color w:val="15211F"/>
          <w:sz w:val="22"/>
        </w:rPr>
        <w:t xml:space="preserve">Imports </w:t>
      </w:r>
      <w:r>
        <w:rPr>
          <w:rFonts w:ascii="Calibri" w:hAnsi="Calibri"/>
          <w:b w:val="0"/>
          <w:i w:val="0"/>
          <w:color w:val="4A5654"/>
          <w:sz w:val="22"/>
        </w:rPr>
        <w:t>come from the PO_ALL sheet in the import report, which is the line by line purchase order log. Summing the quantity column across all 3,010 PO lines gives 1,154,372 pieces. This lands within 28 pieces of Josh's figure, a rounding level difference, so the import side is confirmed.</w:t>
      </w:r>
    </w:p>
    <w:p>
      <w:pPr>
        <w:spacing w:after="160"/>
      </w:pPr>
      <w:r>
        <w:rPr>
          <w:rFonts w:ascii="Calibri" w:hAnsi="Calibri"/>
          <w:b/>
          <w:i w:val="0"/>
          <w:color w:val="15211F"/>
          <w:sz w:val="22"/>
        </w:rPr>
        <w:t xml:space="preserve">Sales </w:t>
      </w:r>
      <w:r>
        <w:rPr>
          <w:rFonts w:ascii="Calibri" w:hAnsi="Calibri"/>
          <w:b w:val="0"/>
          <w:i w:val="0"/>
          <w:color w:val="4A5654"/>
          <w:sz w:val="22"/>
        </w:rPr>
        <w:t>come from the monthly tabs (01 to 12) in the four regional sales reports, plus the DTC tab in the direct to client report. Each line carries a quantity, and the order size and lineItems qty columns agree row for row. The direct to client orders are a separate set of 83 bulk shipments sent straight from the factory, with no order ID overlap with the monthly tabs, so adding them does not double count. Together this covers every channel.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F4F7F7"/>
            <w:tcMar>
              <w:top w:w="60" w:type="dxa"/>
              <w:bottom w:w="60" w:type="dxa"/>
              <w:start w:w="120" w:type="dxa"/>
              <w:end w:w="120" w:type="dxa"/>
            </w:tcMar>
          </w:tcPr>
          <w:p>
            <w:r>
              <w:rPr>
                <w:rFonts w:ascii="Calibri" w:hAnsi="Calibri"/>
                <w:b/>
                <w:i w:val="0"/>
                <w:color w:val="7C8785"/>
                <w:sz w:val="17"/>
              </w:rPr>
              <w:t>SALES REPORT</w:t>
            </w:r>
          </w:p>
        </w:tc>
        <w:tc>
          <w:tcPr>
            <w:tcW w:type="dxa" w:w="4320"/>
            <w:shd w:val="clear" w:color="auto" w:fill="F4F7F7"/>
            <w:tcMar>
              <w:top w:w="60" w:type="dxa"/>
              <w:bottom w:w="60" w:type="dxa"/>
              <w:start w:w="120" w:type="dxa"/>
              <w:end w:w="120" w:type="dxa"/>
            </w:tcMar>
          </w:tcPr>
          <w:p>
            <w:pPr>
              <w:jc w:val="right"/>
            </w:pPr>
            <w:r>
              <w:rPr>
                <w:rFonts w:ascii="Calibri" w:hAnsi="Calibri"/>
                <w:b/>
                <w:i w:val="0"/>
                <w:color w:val="7C8785"/>
                <w:sz w:val="17"/>
              </w:rPr>
              <w:t>PIECES</w:t>
            </w:r>
          </w:p>
        </w:tc>
      </w:tr>
      <w:tr>
        <w:tc>
          <w:tcPr>
            <w:tcW w:type="dxa" w:w="4320"/>
            <w:tcMar>
              <w:top w:w="60" w:type="dxa"/>
              <w:bottom w:w="60" w:type="dxa"/>
              <w:start w:w="120" w:type="dxa"/>
              <w:end w:w="120" w:type="dxa"/>
            </w:tcMar>
          </w:tcPr>
          <w:p>
            <w:r>
              <w:rPr>
                <w:rFonts w:ascii="Calibri" w:hAnsi="Calibri"/>
                <w:b w:val="0"/>
                <w:i w:val="0"/>
                <w:color w:val="15211F"/>
                <w:sz w:val="21"/>
              </w:rPr>
              <w:t>UK &amp; EU, H1 (Jan to Jun)</w:t>
            </w:r>
          </w:p>
        </w:tc>
        <w:tc>
          <w:tcPr>
            <w:tcW w:type="dxa" w:w="4320"/>
            <w:tcMar>
              <w:top w:w="60" w:type="dxa"/>
              <w:bottom w:w="60" w:type="dxa"/>
              <w:start w:w="120" w:type="dxa"/>
              <w:end w:w="120" w:type="dxa"/>
            </w:tcMar>
          </w:tcPr>
          <w:p>
            <w:pPr>
              <w:jc w:val="right"/>
            </w:pPr>
            <w:r>
              <w:rPr>
                <w:rFonts w:ascii="Consolas" w:hAnsi="Consolas"/>
                <w:b w:val="0"/>
                <w:i w:val="0"/>
                <w:color w:val="15211F"/>
                <w:sz w:val="21"/>
              </w:rPr>
              <w:t>312,635</w:t>
            </w:r>
          </w:p>
        </w:tc>
      </w:tr>
      <w:tr>
        <w:tc>
          <w:tcPr>
            <w:tcW w:type="dxa" w:w="4320"/>
            <w:tcMar>
              <w:top w:w="60" w:type="dxa"/>
              <w:bottom w:w="60" w:type="dxa"/>
              <w:start w:w="120" w:type="dxa"/>
              <w:end w:w="120" w:type="dxa"/>
            </w:tcMar>
          </w:tcPr>
          <w:p>
            <w:r>
              <w:rPr>
                <w:rFonts w:ascii="Calibri" w:hAnsi="Calibri"/>
                <w:b w:val="0"/>
                <w:i w:val="0"/>
                <w:color w:val="15211F"/>
                <w:sz w:val="21"/>
              </w:rPr>
              <w:t>UK &amp; EU, H2 (Jul to Dec)</w:t>
            </w:r>
          </w:p>
        </w:tc>
        <w:tc>
          <w:tcPr>
            <w:tcW w:type="dxa" w:w="4320"/>
            <w:tcMar>
              <w:top w:w="60" w:type="dxa"/>
              <w:bottom w:w="60" w:type="dxa"/>
              <w:start w:w="120" w:type="dxa"/>
              <w:end w:w="120" w:type="dxa"/>
            </w:tcMar>
          </w:tcPr>
          <w:p>
            <w:pPr>
              <w:jc w:val="right"/>
            </w:pPr>
            <w:r>
              <w:rPr>
                <w:rFonts w:ascii="Consolas" w:hAnsi="Consolas"/>
                <w:b w:val="0"/>
                <w:i w:val="0"/>
                <w:color w:val="15211F"/>
                <w:sz w:val="21"/>
              </w:rPr>
              <w:t>330,998</w:t>
            </w:r>
          </w:p>
        </w:tc>
      </w:tr>
      <w:tr>
        <w:tc>
          <w:tcPr>
            <w:tcW w:type="dxa" w:w="4320"/>
            <w:tcMar>
              <w:top w:w="60" w:type="dxa"/>
              <w:bottom w:w="60" w:type="dxa"/>
              <w:start w:w="120" w:type="dxa"/>
              <w:end w:w="120" w:type="dxa"/>
            </w:tcMar>
          </w:tcPr>
          <w:p>
            <w:r>
              <w:rPr>
                <w:rFonts w:ascii="Calibri" w:hAnsi="Calibri"/>
                <w:b w:val="0"/>
                <w:i w:val="0"/>
                <w:color w:val="15211F"/>
                <w:sz w:val="21"/>
              </w:rPr>
              <w:t>US, AU &amp; CA, H1 (Jan to Jun)</w:t>
            </w:r>
          </w:p>
        </w:tc>
        <w:tc>
          <w:tcPr>
            <w:tcW w:type="dxa" w:w="4320"/>
            <w:tcMar>
              <w:top w:w="60" w:type="dxa"/>
              <w:bottom w:w="60" w:type="dxa"/>
              <w:start w:w="120" w:type="dxa"/>
              <w:end w:w="120" w:type="dxa"/>
            </w:tcMar>
          </w:tcPr>
          <w:p>
            <w:pPr>
              <w:jc w:val="right"/>
            </w:pPr>
            <w:r>
              <w:rPr>
                <w:rFonts w:ascii="Consolas" w:hAnsi="Consolas"/>
                <w:b w:val="0"/>
                <w:i w:val="0"/>
                <w:color w:val="15211F"/>
                <w:sz w:val="21"/>
              </w:rPr>
              <w:t>218,706</w:t>
            </w:r>
          </w:p>
        </w:tc>
      </w:tr>
      <w:tr>
        <w:tc>
          <w:tcPr>
            <w:tcW w:type="dxa" w:w="4320"/>
            <w:tcMar>
              <w:top w:w="60" w:type="dxa"/>
              <w:bottom w:w="60" w:type="dxa"/>
              <w:start w:w="120" w:type="dxa"/>
              <w:end w:w="120" w:type="dxa"/>
            </w:tcMar>
          </w:tcPr>
          <w:p>
            <w:r>
              <w:rPr>
                <w:rFonts w:ascii="Calibri" w:hAnsi="Calibri"/>
                <w:b w:val="0"/>
                <w:i w:val="0"/>
                <w:color w:val="15211F"/>
                <w:sz w:val="21"/>
              </w:rPr>
              <w:t>US, AU &amp; CA, H2 (Jul to Dec)</w:t>
            </w:r>
          </w:p>
        </w:tc>
        <w:tc>
          <w:tcPr>
            <w:tcW w:type="dxa" w:w="4320"/>
            <w:tcMar>
              <w:top w:w="60" w:type="dxa"/>
              <w:bottom w:w="60" w:type="dxa"/>
              <w:start w:w="120" w:type="dxa"/>
              <w:end w:w="120" w:type="dxa"/>
            </w:tcMar>
          </w:tcPr>
          <w:p>
            <w:pPr>
              <w:jc w:val="right"/>
            </w:pPr>
            <w:r>
              <w:rPr>
                <w:rFonts w:ascii="Consolas" w:hAnsi="Consolas"/>
                <w:b w:val="0"/>
                <w:i w:val="0"/>
                <w:color w:val="15211F"/>
                <w:sz w:val="21"/>
              </w:rPr>
              <w:t>165,648</w:t>
            </w:r>
          </w:p>
        </w:tc>
      </w:tr>
      <w:tr>
        <w:tc>
          <w:tcPr>
            <w:tcW w:type="dxa" w:w="4320"/>
            <w:tcMar>
              <w:top w:w="60" w:type="dxa"/>
              <w:bottom w:w="60" w:type="dxa"/>
              <w:start w:w="120" w:type="dxa"/>
              <w:end w:w="120" w:type="dxa"/>
            </w:tcMar>
          </w:tcPr>
          <w:p>
            <w:r>
              <w:rPr>
                <w:rFonts w:ascii="Calibri" w:hAnsi="Calibri"/>
                <w:b w:val="0"/>
                <w:i w:val="0"/>
                <w:color w:val="15211F"/>
                <w:sz w:val="21"/>
              </w:rPr>
              <w:t>Direct to client (all year)</w:t>
            </w:r>
          </w:p>
        </w:tc>
        <w:tc>
          <w:tcPr>
            <w:tcW w:type="dxa" w:w="4320"/>
            <w:tcMar>
              <w:top w:w="60" w:type="dxa"/>
              <w:bottom w:w="60" w:type="dxa"/>
              <w:start w:w="120" w:type="dxa"/>
              <w:end w:w="120" w:type="dxa"/>
            </w:tcMar>
          </w:tcPr>
          <w:p>
            <w:pPr>
              <w:jc w:val="right"/>
            </w:pPr>
            <w:r>
              <w:rPr>
                <w:rFonts w:ascii="Consolas" w:hAnsi="Consolas"/>
                <w:b w:val="0"/>
                <w:i w:val="0"/>
                <w:color w:val="15211F"/>
                <w:sz w:val="21"/>
              </w:rPr>
              <w:t>111,259</w:t>
            </w:r>
          </w:p>
        </w:tc>
      </w:tr>
      <w:tr>
        <w:tc>
          <w:tcPr>
            <w:tcW w:type="dxa" w:w="4320"/>
            <w:tcMar>
              <w:top w:w="60" w:type="dxa"/>
              <w:bottom w:w="60" w:type="dxa"/>
              <w:start w:w="120" w:type="dxa"/>
              <w:end w:w="120" w:type="dxa"/>
            </w:tcMar>
            <w:shd w:val="clear" w:color="auto" w:fill="EAF0EF"/>
          </w:tcPr>
          <w:p>
            <w:r>
              <w:rPr>
                <w:rFonts w:ascii="Calibri" w:hAnsi="Calibri"/>
                <w:b/>
                <w:i w:val="0"/>
                <w:color w:val="15211F"/>
                <w:sz w:val="21"/>
              </w:rPr>
              <w:t>Total sold, all channels</w:t>
            </w:r>
          </w:p>
        </w:tc>
        <w:tc>
          <w:tcPr>
            <w:tcW w:type="dxa" w:w="4320"/>
            <w:tcMar>
              <w:top w:w="60" w:type="dxa"/>
              <w:bottom w:w="60" w:type="dxa"/>
              <w:start w:w="120" w:type="dxa"/>
              <w:end w:w="120" w:type="dxa"/>
            </w:tcMar>
            <w:shd w:val="clear" w:color="auto" w:fill="EAF0EF"/>
          </w:tcPr>
          <w:p>
            <w:pPr>
              <w:jc w:val="right"/>
            </w:pPr>
            <w:r>
              <w:rPr>
                <w:rFonts w:ascii="Consolas" w:hAnsi="Consolas"/>
                <w:b/>
                <w:i w:val="0"/>
                <w:color w:val="15211F"/>
                <w:sz w:val="21"/>
              </w:rPr>
              <w:t>1,139,246</w:t>
            </w:r>
          </w:p>
        </w:tc>
      </w:tr>
    </w:tbl>
    <w:p>
      <w:pPr>
        <w:spacing w:before="360" w:after="80"/>
        <w:pBdr>
          <w:bottom w:val="single" w:sz="18" w:space="4" w:color="0F766E"/>
        </w:pBdr>
      </w:pPr>
      <w:r>
        <w:rPr>
          <w:rFonts w:ascii="Cambria" w:hAnsi="Cambria"/>
          <w:b/>
          <w:i w:val="0"/>
          <w:color w:val="15211F"/>
          <w:sz w:val="29"/>
        </w:rPr>
        <w:t>Sales by channel</w:t>
      </w:r>
    </w:p>
    <w:p>
      <w:pPr>
        <w:spacing w:after="160"/>
      </w:pPr>
      <w:r>
        <w:rPr>
          <w:rFonts w:ascii="Calibri" w:hAnsi="Calibri"/>
          <w:b w:val="0"/>
          <w:i w:val="0"/>
          <w:color w:val="4A5654"/>
          <w:sz w:val="22"/>
        </w:rPr>
        <w:t>Grouping every order line by channel confirms the coverage: direct to consumer Shopify, Shopify wholesale, Amazon across every marketplace, and direct to client and distributor shipments. Nothing obvious is left that would close the remaining 445,000 piece gap to the quoted figure.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F4F7F7"/>
            <w:tcMar>
              <w:top w:w="60" w:type="dxa"/>
              <w:bottom w:w="60" w:type="dxa"/>
              <w:start w:w="120" w:type="dxa"/>
              <w:end w:w="120" w:type="dxa"/>
            </w:tcMar>
          </w:tcPr>
          <w:p>
            <w:r>
              <w:rPr>
                <w:rFonts w:ascii="Calibri" w:hAnsi="Calibri"/>
                <w:b/>
                <w:i w:val="0"/>
                <w:color w:val="7C8785"/>
                <w:sz w:val="17"/>
              </w:rPr>
              <w:t>CHANNEL GROUP</w:t>
            </w:r>
          </w:p>
        </w:tc>
        <w:tc>
          <w:tcPr>
            <w:tcW w:type="dxa" w:w="2880"/>
            <w:shd w:val="clear" w:color="auto" w:fill="F4F7F7"/>
            <w:tcMar>
              <w:top w:w="60" w:type="dxa"/>
              <w:bottom w:w="60" w:type="dxa"/>
              <w:start w:w="120" w:type="dxa"/>
              <w:end w:w="120" w:type="dxa"/>
            </w:tcMar>
          </w:tcPr>
          <w:p>
            <w:pPr>
              <w:jc w:val="right"/>
            </w:pPr>
            <w:r>
              <w:rPr>
                <w:rFonts w:ascii="Calibri" w:hAnsi="Calibri"/>
                <w:b/>
                <w:i w:val="0"/>
                <w:color w:val="7C8785"/>
                <w:sz w:val="17"/>
              </w:rPr>
              <w:t>PIECES</w:t>
            </w:r>
          </w:p>
        </w:tc>
        <w:tc>
          <w:tcPr>
            <w:tcW w:type="dxa" w:w="2880"/>
            <w:shd w:val="clear" w:color="auto" w:fill="F4F7F7"/>
            <w:tcMar>
              <w:top w:w="60" w:type="dxa"/>
              <w:bottom w:w="60" w:type="dxa"/>
              <w:start w:w="120" w:type="dxa"/>
              <w:end w:w="120" w:type="dxa"/>
            </w:tcMar>
          </w:tcPr>
          <w:p>
            <w:pPr>
              <w:jc w:val="right"/>
            </w:pPr>
            <w:r>
              <w:rPr>
                <w:rFonts w:ascii="Calibri" w:hAnsi="Calibri"/>
                <w:b/>
                <w:i w:val="0"/>
                <w:color w:val="7C8785"/>
                <w:sz w:val="17"/>
              </w:rPr>
              <w:t>SHARE</w:t>
            </w:r>
          </w:p>
        </w:tc>
      </w:tr>
      <w:tr>
        <w:tc>
          <w:tcPr>
            <w:tcW w:type="dxa" w:w="2880"/>
            <w:tcMar>
              <w:top w:w="60" w:type="dxa"/>
              <w:bottom w:w="60" w:type="dxa"/>
              <w:start w:w="120" w:type="dxa"/>
              <w:end w:w="120" w:type="dxa"/>
            </w:tcMar>
          </w:tcPr>
          <w:p>
            <w:r>
              <w:rPr>
                <w:rFonts w:ascii="Calibri" w:hAnsi="Calibri"/>
                <w:b w:val="0"/>
                <w:i w:val="0"/>
                <w:color w:val="15211F"/>
                <w:sz w:val="21"/>
              </w:rPr>
              <w:t>Shopify direct to consumer</w:t>
            </w:r>
          </w:p>
        </w:tc>
        <w:tc>
          <w:tcPr>
            <w:tcW w:type="dxa" w:w="2880"/>
            <w:tcMar>
              <w:top w:w="60" w:type="dxa"/>
              <w:bottom w:w="60" w:type="dxa"/>
              <w:start w:w="120" w:type="dxa"/>
              <w:end w:w="120" w:type="dxa"/>
            </w:tcMar>
          </w:tcPr>
          <w:p>
            <w:pPr>
              <w:jc w:val="right"/>
            </w:pPr>
            <w:r>
              <w:rPr>
                <w:rFonts w:ascii="Consolas" w:hAnsi="Consolas"/>
                <w:b w:val="0"/>
                <w:i w:val="0"/>
                <w:color w:val="15211F"/>
                <w:sz w:val="21"/>
              </w:rPr>
              <w:t>549,572</w:t>
            </w:r>
          </w:p>
        </w:tc>
        <w:tc>
          <w:tcPr>
            <w:tcW w:type="dxa" w:w="2880"/>
            <w:tcMar>
              <w:top w:w="60" w:type="dxa"/>
              <w:bottom w:w="60" w:type="dxa"/>
              <w:start w:w="120" w:type="dxa"/>
              <w:end w:w="120" w:type="dxa"/>
            </w:tcMar>
          </w:tcPr>
          <w:p>
            <w:pPr>
              <w:jc w:val="right"/>
            </w:pPr>
            <w:r>
              <w:rPr>
                <w:rFonts w:ascii="Consolas" w:hAnsi="Consolas"/>
                <w:b w:val="0"/>
                <w:i w:val="0"/>
                <w:color w:val="4A5654"/>
                <w:sz w:val="21"/>
              </w:rPr>
              <w:t>48.2%</w:t>
            </w:r>
          </w:p>
        </w:tc>
      </w:tr>
      <w:tr>
        <w:tc>
          <w:tcPr>
            <w:tcW w:type="dxa" w:w="2880"/>
            <w:tcMar>
              <w:top w:w="60" w:type="dxa"/>
              <w:bottom w:w="60" w:type="dxa"/>
              <w:start w:w="120" w:type="dxa"/>
              <w:end w:w="120" w:type="dxa"/>
            </w:tcMar>
          </w:tcPr>
          <w:p>
            <w:r>
              <w:rPr>
                <w:rFonts w:ascii="Calibri" w:hAnsi="Calibri"/>
                <w:b w:val="0"/>
                <w:i w:val="0"/>
                <w:color w:val="15211F"/>
                <w:sz w:val="21"/>
              </w:rPr>
              <w:t>Shopify wholesale</w:t>
            </w:r>
          </w:p>
        </w:tc>
        <w:tc>
          <w:tcPr>
            <w:tcW w:type="dxa" w:w="2880"/>
            <w:tcMar>
              <w:top w:w="60" w:type="dxa"/>
              <w:bottom w:w="60" w:type="dxa"/>
              <w:start w:w="120" w:type="dxa"/>
              <w:end w:w="120" w:type="dxa"/>
            </w:tcMar>
          </w:tcPr>
          <w:p>
            <w:pPr>
              <w:jc w:val="right"/>
            </w:pPr>
            <w:r>
              <w:rPr>
                <w:rFonts w:ascii="Consolas" w:hAnsi="Consolas"/>
                <w:b w:val="0"/>
                <w:i w:val="0"/>
                <w:color w:val="15211F"/>
                <w:sz w:val="21"/>
              </w:rPr>
              <w:t>276,727</w:t>
            </w:r>
          </w:p>
        </w:tc>
        <w:tc>
          <w:tcPr>
            <w:tcW w:type="dxa" w:w="2880"/>
            <w:tcMar>
              <w:top w:w="60" w:type="dxa"/>
              <w:bottom w:w="60" w:type="dxa"/>
              <w:start w:w="120" w:type="dxa"/>
              <w:end w:w="120" w:type="dxa"/>
            </w:tcMar>
          </w:tcPr>
          <w:p>
            <w:pPr>
              <w:jc w:val="right"/>
            </w:pPr>
            <w:r>
              <w:rPr>
                <w:rFonts w:ascii="Consolas" w:hAnsi="Consolas"/>
                <w:b w:val="0"/>
                <w:i w:val="0"/>
                <w:color w:val="4A5654"/>
                <w:sz w:val="21"/>
              </w:rPr>
              <w:t>24.3%</w:t>
            </w:r>
          </w:p>
        </w:tc>
      </w:tr>
      <w:tr>
        <w:tc>
          <w:tcPr>
            <w:tcW w:type="dxa" w:w="2880"/>
            <w:tcMar>
              <w:top w:w="60" w:type="dxa"/>
              <w:bottom w:w="60" w:type="dxa"/>
              <w:start w:w="120" w:type="dxa"/>
              <w:end w:w="120" w:type="dxa"/>
            </w:tcMar>
          </w:tcPr>
          <w:p>
            <w:r>
              <w:rPr>
                <w:rFonts w:ascii="Calibri" w:hAnsi="Calibri"/>
                <w:b w:val="0"/>
                <w:i w:val="0"/>
                <w:color w:val="15211F"/>
                <w:sz w:val="21"/>
              </w:rPr>
              <w:t>Amazon (all marketplaces)</w:t>
            </w:r>
          </w:p>
        </w:tc>
        <w:tc>
          <w:tcPr>
            <w:tcW w:type="dxa" w:w="2880"/>
            <w:tcMar>
              <w:top w:w="60" w:type="dxa"/>
              <w:bottom w:w="60" w:type="dxa"/>
              <w:start w:w="120" w:type="dxa"/>
              <w:end w:w="120" w:type="dxa"/>
            </w:tcMar>
          </w:tcPr>
          <w:p>
            <w:pPr>
              <w:jc w:val="right"/>
            </w:pPr>
            <w:r>
              <w:rPr>
                <w:rFonts w:ascii="Consolas" w:hAnsi="Consolas"/>
                <w:b w:val="0"/>
                <w:i w:val="0"/>
                <w:color w:val="15211F"/>
                <w:sz w:val="21"/>
              </w:rPr>
              <w:t>228,936</w:t>
            </w:r>
          </w:p>
        </w:tc>
        <w:tc>
          <w:tcPr>
            <w:tcW w:type="dxa" w:w="2880"/>
            <w:tcMar>
              <w:top w:w="60" w:type="dxa"/>
              <w:bottom w:w="60" w:type="dxa"/>
              <w:start w:w="120" w:type="dxa"/>
              <w:end w:w="120" w:type="dxa"/>
            </w:tcMar>
          </w:tcPr>
          <w:p>
            <w:pPr>
              <w:jc w:val="right"/>
            </w:pPr>
            <w:r>
              <w:rPr>
                <w:rFonts w:ascii="Consolas" w:hAnsi="Consolas"/>
                <w:b w:val="0"/>
                <w:i w:val="0"/>
                <w:color w:val="4A5654"/>
                <w:sz w:val="21"/>
              </w:rPr>
              <w:t>20.1%</w:t>
            </w:r>
          </w:p>
        </w:tc>
      </w:tr>
      <w:tr>
        <w:tc>
          <w:tcPr>
            <w:tcW w:type="dxa" w:w="2880"/>
            <w:tcMar>
              <w:top w:w="60" w:type="dxa"/>
              <w:bottom w:w="60" w:type="dxa"/>
              <w:start w:w="120" w:type="dxa"/>
              <w:end w:w="120" w:type="dxa"/>
            </w:tcMar>
          </w:tcPr>
          <w:p>
            <w:r>
              <w:rPr>
                <w:rFonts w:ascii="Calibri" w:hAnsi="Calibri"/>
                <w:b w:val="0"/>
                <w:i w:val="0"/>
                <w:color w:val="15211F"/>
                <w:sz w:val="21"/>
              </w:rPr>
              <w:t>Direct to client &amp; distributor</w:t>
            </w:r>
          </w:p>
        </w:tc>
        <w:tc>
          <w:tcPr>
            <w:tcW w:type="dxa" w:w="2880"/>
            <w:tcMar>
              <w:top w:w="60" w:type="dxa"/>
              <w:bottom w:w="60" w:type="dxa"/>
              <w:start w:w="120" w:type="dxa"/>
              <w:end w:w="120" w:type="dxa"/>
            </w:tcMar>
          </w:tcPr>
          <w:p>
            <w:pPr>
              <w:jc w:val="right"/>
            </w:pPr>
            <w:r>
              <w:rPr>
                <w:rFonts w:ascii="Consolas" w:hAnsi="Consolas"/>
                <w:b w:val="0"/>
                <w:i w:val="0"/>
                <w:color w:val="15211F"/>
                <w:sz w:val="21"/>
              </w:rPr>
              <w:t>81,787</w:t>
            </w:r>
          </w:p>
        </w:tc>
        <w:tc>
          <w:tcPr>
            <w:tcW w:type="dxa" w:w="2880"/>
            <w:tcMar>
              <w:top w:w="60" w:type="dxa"/>
              <w:bottom w:w="60" w:type="dxa"/>
              <w:start w:w="120" w:type="dxa"/>
              <w:end w:w="120" w:type="dxa"/>
            </w:tcMar>
          </w:tcPr>
          <w:p>
            <w:pPr>
              <w:jc w:val="right"/>
            </w:pPr>
            <w:r>
              <w:rPr>
                <w:rFonts w:ascii="Consolas" w:hAnsi="Consolas"/>
                <w:b w:val="0"/>
                <w:i w:val="0"/>
                <w:color w:val="4A5654"/>
                <w:sz w:val="21"/>
              </w:rPr>
              <w:t>7.2%</w:t>
            </w:r>
          </w:p>
        </w:tc>
      </w:tr>
      <w:tr>
        <w:tc>
          <w:tcPr>
            <w:tcW w:type="dxa" w:w="2880"/>
            <w:tcMar>
              <w:top w:w="60" w:type="dxa"/>
              <w:bottom w:w="60" w:type="dxa"/>
              <w:start w:w="120" w:type="dxa"/>
              <w:end w:w="120" w:type="dxa"/>
            </w:tcMar>
          </w:tcPr>
          <w:p>
            <w:r>
              <w:rPr>
                <w:rFonts w:ascii="Calibri" w:hAnsi="Calibri"/>
                <w:b w:val="0"/>
                <w:i w:val="0"/>
                <w:color w:val="15211F"/>
                <w:sz w:val="21"/>
              </w:rPr>
              <w:t>Channel not tagged</w:t>
            </w:r>
          </w:p>
        </w:tc>
        <w:tc>
          <w:tcPr>
            <w:tcW w:type="dxa" w:w="2880"/>
            <w:tcMar>
              <w:top w:w="60" w:type="dxa"/>
              <w:bottom w:w="60" w:type="dxa"/>
              <w:start w:w="120" w:type="dxa"/>
              <w:end w:w="120" w:type="dxa"/>
            </w:tcMar>
          </w:tcPr>
          <w:p>
            <w:pPr>
              <w:jc w:val="right"/>
            </w:pPr>
            <w:r>
              <w:rPr>
                <w:rFonts w:ascii="Consolas" w:hAnsi="Consolas"/>
                <w:b w:val="0"/>
                <w:i w:val="0"/>
                <w:color w:val="15211F"/>
                <w:sz w:val="21"/>
              </w:rPr>
              <w:t>2,224</w:t>
            </w:r>
          </w:p>
        </w:tc>
        <w:tc>
          <w:tcPr>
            <w:tcW w:type="dxa" w:w="2880"/>
            <w:tcMar>
              <w:top w:w="60" w:type="dxa"/>
              <w:bottom w:w="60" w:type="dxa"/>
              <w:start w:w="120" w:type="dxa"/>
              <w:end w:w="120" w:type="dxa"/>
            </w:tcMar>
          </w:tcPr>
          <w:p>
            <w:pPr>
              <w:jc w:val="right"/>
            </w:pPr>
            <w:r>
              <w:rPr>
                <w:rFonts w:ascii="Consolas" w:hAnsi="Consolas"/>
                <w:b w:val="0"/>
                <w:i w:val="0"/>
                <w:color w:val="4A5654"/>
                <w:sz w:val="21"/>
              </w:rPr>
              <w:t>0.2%</w:t>
            </w:r>
          </w:p>
        </w:tc>
      </w:tr>
      <w:tr>
        <w:tc>
          <w:tcPr>
            <w:tcW w:type="dxa" w:w="2880"/>
            <w:tcMar>
              <w:top w:w="60" w:type="dxa"/>
              <w:bottom w:w="60" w:type="dxa"/>
              <w:start w:w="120" w:type="dxa"/>
              <w:end w:w="120" w:type="dxa"/>
            </w:tcMar>
            <w:shd w:val="clear" w:color="auto" w:fill="EAF0EF"/>
          </w:tcPr>
          <w:p>
            <w:r>
              <w:rPr>
                <w:rFonts w:ascii="Calibri" w:hAnsi="Calibri"/>
                <w:b/>
                <w:i w:val="0"/>
                <w:color w:val="15211F"/>
                <w:sz w:val="21"/>
              </w:rPr>
              <w:t>Total</w:t>
            </w:r>
          </w:p>
        </w:tc>
        <w:tc>
          <w:tcPr>
            <w:tcW w:type="dxa" w:w="2880"/>
            <w:tcMar>
              <w:top w:w="60" w:type="dxa"/>
              <w:bottom w:w="60" w:type="dxa"/>
              <w:start w:w="120" w:type="dxa"/>
              <w:end w:w="120" w:type="dxa"/>
            </w:tcMar>
            <w:shd w:val="clear" w:color="auto" w:fill="EAF0EF"/>
          </w:tcPr>
          <w:p>
            <w:pPr>
              <w:jc w:val="right"/>
            </w:pPr>
            <w:r>
              <w:rPr>
                <w:rFonts w:ascii="Consolas" w:hAnsi="Consolas"/>
                <w:b/>
                <w:i w:val="0"/>
                <w:color w:val="15211F"/>
                <w:sz w:val="21"/>
              </w:rPr>
              <w:t>1,139,246</w:t>
            </w:r>
          </w:p>
        </w:tc>
        <w:tc>
          <w:tcPr>
            <w:tcW w:type="dxa" w:w="2880"/>
            <w:tcMar>
              <w:top w:w="60" w:type="dxa"/>
              <w:bottom w:w="60" w:type="dxa"/>
              <w:start w:w="120" w:type="dxa"/>
              <w:end w:w="120" w:type="dxa"/>
            </w:tcMar>
            <w:shd w:val="clear" w:color="auto" w:fill="EAF0EF"/>
          </w:tcPr>
          <w:p>
            <w:pPr>
              <w:jc w:val="right"/>
            </w:pPr>
            <w:r>
              <w:rPr>
                <w:rFonts w:ascii="Consolas" w:hAnsi="Consolas"/>
                <w:b/>
                <w:i w:val="0"/>
                <w:color w:val="4A5654"/>
                <w:sz w:val="21"/>
              </w:rPr>
              <w:t>100%</w:t>
            </w:r>
          </w:p>
        </w:tc>
      </w:tr>
    </w:tbl>
    <w:p>
      <w:pPr>
        <w:spacing w:before="360" w:after="80"/>
        <w:pBdr>
          <w:bottom w:val="single" w:sz="18" w:space="4" w:color="0F766E"/>
        </w:pBdr>
      </w:pPr>
      <w:r>
        <w:rPr>
          <w:rFonts w:ascii="Cambria" w:hAnsi="Cambria"/>
          <w:b/>
          <w:i w:val="0"/>
          <w:color w:val="15211F"/>
          <w:sz w:val="29"/>
        </w:rPr>
        <w:t>What we checked</w:t>
      </w:r>
    </w:p>
    <w:p>
      <w:pPr>
        <w:spacing w:after="160"/>
      </w:pPr>
      <w:r>
        <w:rPr>
          <w:rFonts w:ascii="Calibri" w:hAnsi="Calibri"/>
          <w:b w:val="0"/>
          <w:i w:val="0"/>
          <w:color w:val="4A5654"/>
          <w:sz w:val="22"/>
        </w:rPr>
        <w:t>Direct to client was the one channel genuinely missing from the first pass, and adding it (111,259 pieces) closed almost all of the gap to imports. For the 445,000 that still separates our total from the quoted figure, we checked the remaining explanations:</w:t>
      </w:r>
    </w:p>
    <w:p>
      <w:pPr>
        <w:spacing w:after="120"/>
        <w:ind w:left="403"/>
      </w:pPr>
      <w:r>
        <w:rPr>
          <w:rFonts w:ascii="Calibri" w:hAnsi="Calibri"/>
          <w:b/>
          <w:i w:val="0"/>
          <w:color w:val="0F766E"/>
          <w:sz w:val="22"/>
        </w:rPr>
        <w:t xml:space="preserve">▪  </w:t>
      </w:r>
      <w:r>
        <w:rPr>
          <w:rFonts w:ascii="Calibri" w:hAnsi="Calibri"/>
          <w:b/>
          <w:i w:val="0"/>
          <w:color w:val="15211F"/>
          <w:sz w:val="22"/>
        </w:rPr>
        <w:t xml:space="preserve">Not a multipack or pieces conversion. </w:t>
      </w:r>
      <w:r>
        <w:rPr>
          <w:rFonts w:ascii="Calibri" w:hAnsi="Calibri"/>
          <w:b w:val="0"/>
          <w:i w:val="0"/>
          <w:color w:val="4A5654"/>
          <w:sz w:val="22"/>
        </w:rPr>
        <w:t>The SKU data has no pack size multiplier, so one sold unit equals one piece, the same basis imports are counted on.</w:t>
      </w:r>
    </w:p>
    <w:p>
      <w:pPr>
        <w:spacing w:after="120"/>
        <w:ind w:left="403"/>
      </w:pPr>
      <w:r>
        <w:rPr>
          <w:rFonts w:ascii="Calibri" w:hAnsi="Calibri"/>
          <w:b/>
          <w:i w:val="0"/>
          <w:color w:val="0F766E"/>
          <w:sz w:val="22"/>
        </w:rPr>
        <w:t xml:space="preserve">▪  </w:t>
      </w:r>
      <w:r>
        <w:rPr>
          <w:rFonts w:ascii="Calibri" w:hAnsi="Calibri"/>
          <w:b/>
          <w:i w:val="0"/>
          <w:color w:val="15211F"/>
          <w:sz w:val="22"/>
        </w:rPr>
        <w:t xml:space="preserve">No other obvious channel left. </w:t>
      </w:r>
      <w:r>
        <w:rPr>
          <w:rFonts w:ascii="Calibri" w:hAnsi="Calibri"/>
          <w:b w:val="0"/>
          <w:i w:val="0"/>
          <w:color w:val="4A5654"/>
          <w:sz w:val="22"/>
        </w:rPr>
        <w:t>Shopify direct, Shopify wholesale, Amazon, direct to client and distributor are now all included. The report summary tabs total far less, so they are not a hidden source.</w:t>
      </w:r>
    </w:p>
    <w:p>
      <w:pPr>
        <w:spacing w:after="120"/>
        <w:ind w:left="403"/>
      </w:pPr>
      <w:r>
        <w:rPr>
          <w:rFonts w:ascii="Calibri" w:hAnsi="Calibri"/>
          <w:b/>
          <w:i w:val="0"/>
          <w:color w:val="0F766E"/>
          <w:sz w:val="22"/>
        </w:rPr>
        <w:t xml:space="preserve">▪  </w:t>
      </w:r>
      <w:r>
        <w:rPr>
          <w:rFonts w:ascii="Calibri" w:hAnsi="Calibri"/>
          <w:b/>
          <w:i w:val="0"/>
          <w:color w:val="15211F"/>
          <w:sz w:val="22"/>
        </w:rPr>
        <w:t xml:space="preserve">Not a stored total we overlooked. </w:t>
      </w:r>
      <w:r>
        <w:rPr>
          <w:rFonts w:ascii="Calibri" w:hAnsi="Calibri"/>
          <w:b w:val="0"/>
          <w:i w:val="0"/>
          <w:color w:val="4A5654"/>
          <w:sz w:val="22"/>
        </w:rPr>
        <w:t>The value 1,584,777 does not appear as a figure in any sheet; the only near matches are order ID numbers. It was calculated outside these files.</w:t>
      </w:r>
    </w:p>
    <w:p>
      <w:pPr>
        <w:spacing w:before="360" w:after="80"/>
        <w:pBdr>
          <w:bottom w:val="single" w:sz="18" w:space="4" w:color="0F766E"/>
        </w:pBdr>
      </w:pPr>
      <w:r>
        <w:rPr>
          <w:rFonts w:ascii="Cambria" w:hAnsi="Cambria"/>
          <w:b/>
          <w:i w:val="0"/>
          <w:color w:val="15211F"/>
          <w:sz w:val="29"/>
        </w:rPr>
        <w:t>Recommendation</w:t>
      </w:r>
    </w:p>
    <w:p>
      <w:pPr>
        <w:spacing w:after="160"/>
      </w:pPr>
      <w:r>
        <w:rPr>
          <w:rFonts w:ascii="Calibri" w:hAnsi="Calibri"/>
          <w:b w:val="0"/>
          <w:i w:val="0"/>
          <w:color w:val="4A5654"/>
          <w:sz w:val="22"/>
        </w:rPr>
        <w:t>The claim as stated does not hold. The arithmetic is fine (1,584,777 minus 1,154,344 is indeed 430,433), but the sales input is overstated by roughly 445,500 pieces. On the actual order data, imports and sales are essentially level: we imported about 15,000 more than we sold, a small net stock build, rather than selling 430,000 more than we imported.</w:t>
      </w:r>
    </w:p>
    <w:p>
      <w:pPr>
        <w:spacing w:after="120"/>
        <w:ind w:left="403"/>
      </w:pPr>
      <w:r>
        <w:rPr>
          <w:rFonts w:ascii="Calibri" w:hAnsi="Calibri"/>
          <w:b/>
          <w:i w:val="0"/>
          <w:color w:val="0F766E"/>
          <w:sz w:val="22"/>
        </w:rPr>
        <w:t xml:space="preserve">▪  </w:t>
      </w:r>
      <w:r>
        <w:rPr>
          <w:rFonts w:ascii="Calibri" w:hAnsi="Calibri"/>
          <w:b/>
          <w:i w:val="0"/>
          <w:color w:val="15211F"/>
          <w:sz w:val="22"/>
        </w:rPr>
        <w:t xml:space="preserve">Ask Josh for his sales source. </w:t>
      </w:r>
      <w:r>
        <w:rPr>
          <w:rFonts w:ascii="Calibri" w:hAnsi="Calibri"/>
          <w:b w:val="0"/>
          <w:i w:val="0"/>
          <w:color w:val="4A5654"/>
          <w:sz w:val="22"/>
        </w:rPr>
        <w:t>Which export or pivot produced 1,584,777, over what date range and channel set. That is where the gap will be: most likely a channel counted twice, an order versus line item mix up, or a wider date window.</w:t>
      </w:r>
    </w:p>
    <w:p>
      <w:pPr>
        <w:spacing w:after="120"/>
        <w:ind w:left="403"/>
      </w:pPr>
      <w:r>
        <w:rPr>
          <w:rFonts w:ascii="Calibri" w:hAnsi="Calibri"/>
          <w:b/>
          <w:i w:val="0"/>
          <w:color w:val="0F766E"/>
          <w:sz w:val="22"/>
        </w:rPr>
        <w:t xml:space="preserve">▪  </w:t>
      </w:r>
      <w:r>
        <w:rPr>
          <w:rFonts w:ascii="Calibri" w:hAnsi="Calibri"/>
          <w:b/>
          <w:i w:val="0"/>
          <w:color w:val="15211F"/>
          <w:sz w:val="22"/>
        </w:rPr>
        <w:t xml:space="preserve">Then compare like for like. </w:t>
      </w:r>
      <w:r>
        <w:rPr>
          <w:rFonts w:ascii="Calibri" w:hAnsi="Calibri"/>
          <w:b w:val="0"/>
          <w:i w:val="0"/>
          <w:color w:val="4A5654"/>
          <w:sz w:val="22"/>
        </w:rPr>
        <w:t>Once we have his working, line it up against the 1,139,246 month by month or by product to pinpoint where the extra pieces enter.</w:t>
      </w:r>
    </w:p>
    <w:p>
      <w:pPr>
        <w:spacing w:before="320"/>
        <w:pBdr>
          <w:top w:val="single" w:sz="6" w:space="6" w:color="DCE2E1"/>
        </w:pBdr>
      </w:pPr>
      <w:r>
        <w:rPr>
          <w:rFonts w:ascii="Calibri" w:hAnsi="Calibri"/>
          <w:b w:val="0"/>
          <w:i/>
          <w:color w:val="7C8785"/>
          <w:sz w:val="17"/>
        </w:rPr>
        <w:t>Sources: Bcorp 2025 IMPORT Report (PO_ALL sheet); the four Bcorp 2025 SALES Report files (monthly tabs 01 to 12); and Bcorp 2025 SALES Report for Direct to Client (DTC tab). All figures in individual pieces. Import total and quoted import total differ by 28 pieces (rounding).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521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