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14B" w:rsidRPr="0087332A" w:rsidRDefault="00E82AB8" w:rsidP="00E82AB8">
      <w:pPr>
        <w:pStyle w:val="Titel"/>
      </w:pPr>
      <w:r w:rsidRPr="0087332A">
        <w:t>Glossar</w:t>
      </w:r>
    </w:p>
    <w:p w:rsidR="00B7753C" w:rsidRPr="0087332A" w:rsidRDefault="00B7753C" w:rsidP="00B7753C">
      <w:r w:rsidRPr="0087332A">
        <w:t xml:space="preserve">Dieses Glossar erklärt wesentliche </w:t>
      </w:r>
      <w:r w:rsidR="0087332A" w:rsidRPr="0087332A">
        <w:t>Begriffe</w:t>
      </w:r>
      <w:r w:rsidRPr="0087332A">
        <w:t xml:space="preserve"> </w:t>
      </w:r>
      <w:r w:rsidR="0087332A" w:rsidRPr="0087332A">
        <w:t>des Projekts “Docker”. Folgende Elemente können einen Begriff beschreiben:</w:t>
      </w:r>
    </w:p>
    <w:tbl>
      <w:tblPr>
        <w:tblStyle w:val="Tabellenraster"/>
        <w:tblW w:w="0" w:type="auto"/>
        <w:tblLook w:val="04A0" w:firstRow="1" w:lastRow="0" w:firstColumn="1" w:lastColumn="0" w:noHBand="0" w:noVBand="1"/>
      </w:tblPr>
      <w:tblGrid>
        <w:gridCol w:w="2263"/>
        <w:gridCol w:w="6799"/>
      </w:tblGrid>
      <w:tr w:rsidR="00B7753C" w:rsidRPr="0087332A" w:rsidTr="00B7753C">
        <w:tc>
          <w:tcPr>
            <w:tcW w:w="2263" w:type="dxa"/>
          </w:tcPr>
          <w:p w:rsidR="00B7753C" w:rsidRPr="0087332A" w:rsidRDefault="00B7753C" w:rsidP="0087332A">
            <w:pPr>
              <w:rPr>
                <w:b/>
              </w:rPr>
            </w:pPr>
            <w:r w:rsidRPr="0087332A">
              <w:rPr>
                <w:b/>
              </w:rPr>
              <w:t>Begriff:</w:t>
            </w:r>
          </w:p>
        </w:tc>
        <w:tc>
          <w:tcPr>
            <w:tcW w:w="6799" w:type="dxa"/>
          </w:tcPr>
          <w:p w:rsidR="00B7753C" w:rsidRPr="0087332A" w:rsidRDefault="00B7753C" w:rsidP="0087332A">
            <w:r w:rsidRPr="0087332A">
              <w:t>Der zu erklärende Terminus</w:t>
            </w:r>
          </w:p>
        </w:tc>
      </w:tr>
      <w:tr w:rsidR="00B7753C" w:rsidRPr="0087332A" w:rsidTr="00B7753C">
        <w:tc>
          <w:tcPr>
            <w:tcW w:w="2263" w:type="dxa"/>
          </w:tcPr>
          <w:p w:rsidR="00B7753C" w:rsidRPr="0087332A" w:rsidRDefault="00B7753C" w:rsidP="0087332A">
            <w:pPr>
              <w:rPr>
                <w:b/>
              </w:rPr>
            </w:pPr>
            <w:r w:rsidRPr="0087332A">
              <w:rPr>
                <w:b/>
              </w:rPr>
              <w:t>Definition:</w:t>
            </w:r>
          </w:p>
        </w:tc>
        <w:tc>
          <w:tcPr>
            <w:tcW w:w="6799" w:type="dxa"/>
          </w:tcPr>
          <w:p w:rsidR="00B7753C" w:rsidRPr="0087332A" w:rsidRDefault="00B7753C" w:rsidP="0087332A">
            <w:r w:rsidRPr="0087332A">
              <w:t xml:space="preserve">Kurze Definition des Begriffs </w:t>
            </w:r>
          </w:p>
        </w:tc>
      </w:tr>
      <w:tr w:rsidR="00B7753C" w:rsidRPr="0087332A" w:rsidTr="00B7753C">
        <w:tc>
          <w:tcPr>
            <w:tcW w:w="2263" w:type="dxa"/>
          </w:tcPr>
          <w:p w:rsidR="00B7753C" w:rsidRPr="0087332A" w:rsidRDefault="00B7753C" w:rsidP="0087332A">
            <w:pPr>
              <w:rPr>
                <w:b/>
              </w:rPr>
            </w:pPr>
            <w:r w:rsidRPr="0087332A">
              <w:rPr>
                <w:b/>
              </w:rPr>
              <w:t>Weitere Erklärungen:</w:t>
            </w:r>
          </w:p>
        </w:tc>
        <w:tc>
          <w:tcPr>
            <w:tcW w:w="6799" w:type="dxa"/>
          </w:tcPr>
          <w:p w:rsidR="00B7753C" w:rsidRPr="0087332A" w:rsidRDefault="00B7753C" w:rsidP="0087332A">
            <w:r w:rsidRPr="0087332A">
              <w:t>Weitere Informationen zum Begriff</w:t>
            </w:r>
            <w:r w:rsidR="0087332A" w:rsidRPr="0087332A">
              <w:t xml:space="preserve"> </w:t>
            </w:r>
            <w:r w:rsidR="0087332A" w:rsidRPr="0087332A">
              <w:t>(optional)</w:t>
            </w:r>
          </w:p>
        </w:tc>
      </w:tr>
      <w:tr w:rsidR="00B7753C" w:rsidRPr="0087332A" w:rsidTr="00B7753C">
        <w:tc>
          <w:tcPr>
            <w:tcW w:w="2263" w:type="dxa"/>
          </w:tcPr>
          <w:p w:rsidR="00B7753C" w:rsidRPr="0087332A" w:rsidRDefault="00B7753C" w:rsidP="0087332A">
            <w:pPr>
              <w:rPr>
                <w:b/>
              </w:rPr>
            </w:pPr>
            <w:r w:rsidRPr="0087332A">
              <w:rPr>
                <w:b/>
              </w:rPr>
              <w:t>Format:</w:t>
            </w:r>
          </w:p>
        </w:tc>
        <w:tc>
          <w:tcPr>
            <w:tcW w:w="6799" w:type="dxa"/>
          </w:tcPr>
          <w:p w:rsidR="00B7753C" w:rsidRPr="0087332A" w:rsidRDefault="00B7753C" w:rsidP="0087332A">
            <w:r w:rsidRPr="0087332A">
              <w:t>Typ, Länge, Einheit (optional)</w:t>
            </w:r>
          </w:p>
        </w:tc>
      </w:tr>
      <w:tr w:rsidR="00B7753C" w:rsidRPr="0087332A" w:rsidTr="00B7753C">
        <w:tc>
          <w:tcPr>
            <w:tcW w:w="2263" w:type="dxa"/>
          </w:tcPr>
          <w:p w:rsidR="00B7753C" w:rsidRPr="0087332A" w:rsidRDefault="00B7753C" w:rsidP="0087332A">
            <w:pPr>
              <w:rPr>
                <w:b/>
              </w:rPr>
            </w:pPr>
            <w:r w:rsidRPr="0087332A">
              <w:rPr>
                <w:b/>
              </w:rPr>
              <w:t>Validierungsregeln:</w:t>
            </w:r>
          </w:p>
        </w:tc>
        <w:tc>
          <w:tcPr>
            <w:tcW w:w="6799" w:type="dxa"/>
          </w:tcPr>
          <w:p w:rsidR="00B7753C" w:rsidRPr="0087332A" w:rsidRDefault="00B7753C" w:rsidP="0087332A">
            <w:r w:rsidRPr="0087332A">
              <w:t>Validierungsregeln für Parameter (optional)</w:t>
            </w:r>
          </w:p>
        </w:tc>
      </w:tr>
      <w:tr w:rsidR="00B7753C" w:rsidRPr="0087332A" w:rsidTr="00B7753C">
        <w:tc>
          <w:tcPr>
            <w:tcW w:w="2263" w:type="dxa"/>
          </w:tcPr>
          <w:p w:rsidR="00B7753C" w:rsidRPr="0087332A" w:rsidRDefault="00B7753C" w:rsidP="0087332A">
            <w:pPr>
              <w:rPr>
                <w:b/>
              </w:rPr>
            </w:pPr>
            <w:r w:rsidRPr="0087332A">
              <w:rPr>
                <w:b/>
              </w:rPr>
              <w:t>Aliase:</w:t>
            </w:r>
          </w:p>
        </w:tc>
        <w:tc>
          <w:tcPr>
            <w:tcW w:w="6799" w:type="dxa"/>
          </w:tcPr>
          <w:p w:rsidR="00B7753C" w:rsidRPr="0087332A" w:rsidRDefault="00B7753C" w:rsidP="0087332A">
            <w:r w:rsidRPr="0087332A">
              <w:t>Synonyme (optional)</w:t>
            </w:r>
          </w:p>
        </w:tc>
      </w:tr>
      <w:tr w:rsidR="00B7753C" w:rsidRPr="0087332A" w:rsidTr="00B7753C">
        <w:tc>
          <w:tcPr>
            <w:tcW w:w="2263" w:type="dxa"/>
          </w:tcPr>
          <w:p w:rsidR="00B7753C" w:rsidRPr="0087332A" w:rsidRDefault="00B7753C" w:rsidP="0087332A">
            <w:pPr>
              <w:rPr>
                <w:b/>
              </w:rPr>
            </w:pPr>
            <w:r w:rsidRPr="0087332A">
              <w:rPr>
                <w:b/>
              </w:rPr>
              <w:t>Beziehungen:</w:t>
            </w:r>
          </w:p>
        </w:tc>
        <w:tc>
          <w:tcPr>
            <w:tcW w:w="6799" w:type="dxa"/>
          </w:tcPr>
          <w:p w:rsidR="00B7753C" w:rsidRPr="0087332A" w:rsidRDefault="00B7753C" w:rsidP="0087332A">
            <w:r w:rsidRPr="0087332A">
              <w:t>Beziehungen dieses Begriffs zu anderen Elementen (optional)</w:t>
            </w:r>
          </w:p>
        </w:tc>
      </w:tr>
    </w:tbl>
    <w:p w:rsidR="0087332A" w:rsidRPr="0087332A" w:rsidRDefault="0087332A" w:rsidP="0087332A">
      <w:pPr>
        <w:spacing w:before="240"/>
      </w:pPr>
      <w:r w:rsidRPr="0087332A">
        <w:t>Diese Auflistung soll nur als Richtlinie dienen. Die meisten Begriffe sollten in kurzer Prosa erklärt werden.</w:t>
      </w:r>
    </w:p>
    <w:p w:rsidR="00BF4FC5" w:rsidRDefault="0087332A" w:rsidP="0087332A">
      <w:pPr>
        <w:pStyle w:val="berschrift1"/>
      </w:pPr>
      <w:r w:rsidRPr="0087332A">
        <w:t>Projektdomäne</w:t>
      </w:r>
    </w:p>
    <w:p w:rsidR="00E73D17" w:rsidRPr="00E73D17" w:rsidRDefault="00E73D17" w:rsidP="00E73D17">
      <w:pPr>
        <w:pStyle w:val="berschrift2"/>
      </w:pPr>
      <w:r>
        <w:t>Primärbegriffe</w:t>
      </w:r>
    </w:p>
    <w:tbl>
      <w:tblPr>
        <w:tblStyle w:val="EinfacheTabelle4"/>
        <w:tblW w:w="0" w:type="auto"/>
        <w:tblLook w:val="0400" w:firstRow="0" w:lastRow="0" w:firstColumn="0" w:lastColumn="0" w:noHBand="0" w:noVBand="1"/>
      </w:tblPr>
      <w:tblGrid>
        <w:gridCol w:w="1271"/>
        <w:gridCol w:w="7791"/>
      </w:tblGrid>
      <w:tr w:rsidR="0087332A" w:rsidRPr="0087332A" w:rsidTr="004C6E92">
        <w:trPr>
          <w:cnfStyle w:val="000000100000" w:firstRow="0" w:lastRow="0" w:firstColumn="0" w:lastColumn="0" w:oddVBand="0" w:evenVBand="0" w:oddHBand="1" w:evenHBand="0" w:firstRowFirstColumn="0" w:firstRowLastColumn="0" w:lastRowFirstColumn="0" w:lastRowLastColumn="0"/>
        </w:trPr>
        <w:tc>
          <w:tcPr>
            <w:tcW w:w="1271" w:type="dxa"/>
          </w:tcPr>
          <w:p w:rsidR="0087332A" w:rsidRPr="0087332A" w:rsidRDefault="0087332A" w:rsidP="0087332A">
            <w:pPr>
              <w:jc w:val="right"/>
            </w:pPr>
            <w:r w:rsidRPr="0087332A">
              <w:t>Spieler</w:t>
            </w:r>
          </w:p>
        </w:tc>
        <w:tc>
          <w:tcPr>
            <w:tcW w:w="7791" w:type="dxa"/>
          </w:tcPr>
          <w:p w:rsidR="0087332A" w:rsidRDefault="0087332A" w:rsidP="0087332A">
            <w:r w:rsidRPr="0087332A">
              <w:t xml:space="preserve">Der Spieler ist </w:t>
            </w:r>
            <w:r>
              <w:t>der einzige menschliche Akteur in der Projektdomäne.</w:t>
            </w:r>
          </w:p>
          <w:p w:rsidR="0087332A" w:rsidRPr="0087332A" w:rsidRDefault="0087332A" w:rsidP="0087332A">
            <w:r>
              <w:t>Synonyme: Benutzer, User, Anwender</w:t>
            </w:r>
          </w:p>
        </w:tc>
      </w:tr>
      <w:tr w:rsidR="0087332A" w:rsidRPr="0087332A" w:rsidTr="004C6E92">
        <w:tc>
          <w:tcPr>
            <w:tcW w:w="1271" w:type="dxa"/>
          </w:tcPr>
          <w:p w:rsidR="0087332A" w:rsidRPr="0087332A" w:rsidRDefault="0087332A" w:rsidP="0087332A">
            <w:pPr>
              <w:jc w:val="right"/>
            </w:pPr>
            <w:r w:rsidRPr="0087332A">
              <w:t>Spiel</w:t>
            </w:r>
          </w:p>
        </w:tc>
        <w:tc>
          <w:tcPr>
            <w:tcW w:w="7791" w:type="dxa"/>
          </w:tcPr>
          <w:p w:rsidR="0087332A" w:rsidRDefault="004C6E92" w:rsidP="0087332A">
            <w:r>
              <w:t xml:space="preserve">Das Spiel beinhaltet sowohl die Spielregeln und –Logik, als auch den aktuellen Zustand des Spiels, etwa </w:t>
            </w:r>
            <w:proofErr w:type="spellStart"/>
            <w:r>
              <w:t>Timer</w:t>
            </w:r>
            <w:proofErr w:type="spellEnd"/>
            <w:r>
              <w:t xml:space="preserve"> oder die aktuelle Punktezahl. Verschiedene Spielmodi führen zu verschiedenen Ausprägungen des Spiel-Objekts.</w:t>
            </w:r>
          </w:p>
          <w:p w:rsidR="004C6E92" w:rsidRPr="0087332A" w:rsidRDefault="004C6E92" w:rsidP="0087332A">
            <w:r>
              <w:t>Synonyme: Game</w:t>
            </w:r>
          </w:p>
        </w:tc>
      </w:tr>
      <w:tr w:rsidR="0087332A" w:rsidRPr="0087332A" w:rsidTr="004C6E92">
        <w:trPr>
          <w:cnfStyle w:val="000000100000" w:firstRow="0" w:lastRow="0" w:firstColumn="0" w:lastColumn="0" w:oddVBand="0" w:evenVBand="0" w:oddHBand="1" w:evenHBand="0" w:firstRowFirstColumn="0" w:firstRowLastColumn="0" w:lastRowFirstColumn="0" w:lastRowLastColumn="0"/>
        </w:trPr>
        <w:tc>
          <w:tcPr>
            <w:tcW w:w="1271" w:type="dxa"/>
          </w:tcPr>
          <w:p w:rsidR="0087332A" w:rsidRPr="0087332A" w:rsidRDefault="0087332A" w:rsidP="0087332A">
            <w:pPr>
              <w:jc w:val="right"/>
            </w:pPr>
            <w:r w:rsidRPr="0087332A">
              <w:t>Schiff</w:t>
            </w:r>
          </w:p>
        </w:tc>
        <w:tc>
          <w:tcPr>
            <w:tcW w:w="7791" w:type="dxa"/>
          </w:tcPr>
          <w:p w:rsidR="00F92DCE" w:rsidRDefault="00F92DCE" w:rsidP="0087332A">
            <w:r>
              <w:t>Das Schiff ist ein zentrales Spielelement in Docker. Ziel des Spiels ist es, Container möglichst effizient auf das Schiff zu beladen. Das Schiff enthält also eine Sammlung bereits platzierter Container.</w:t>
            </w:r>
            <w:r w:rsidR="006279F0">
              <w:t xml:space="preserve"> Verschiedene Schiffe unterscheiden sich in Attributen wie Breite, Höhe und Tragfähigkeit.</w:t>
            </w:r>
          </w:p>
          <w:p w:rsidR="0087332A" w:rsidRPr="0087332A" w:rsidRDefault="00F92DCE" w:rsidP="0087332A">
            <w:r>
              <w:t>Synonyme: Frachtschiff, Containerschiff</w:t>
            </w:r>
          </w:p>
        </w:tc>
      </w:tr>
      <w:tr w:rsidR="0087332A" w:rsidRPr="0087332A" w:rsidTr="004C6E92">
        <w:tc>
          <w:tcPr>
            <w:tcW w:w="1271" w:type="dxa"/>
          </w:tcPr>
          <w:p w:rsidR="0087332A" w:rsidRPr="0087332A" w:rsidRDefault="0087332A" w:rsidP="0087332A">
            <w:pPr>
              <w:jc w:val="right"/>
            </w:pPr>
            <w:r w:rsidRPr="0087332A">
              <w:t>Zug</w:t>
            </w:r>
          </w:p>
        </w:tc>
        <w:tc>
          <w:tcPr>
            <w:tcW w:w="7791" w:type="dxa"/>
          </w:tcPr>
          <w:p w:rsidR="001F272B" w:rsidRDefault="001F272B" w:rsidP="0087332A">
            <w:r>
              <w:t>Der Zug ist dafür zuständig, die zu verladenden Container in den Spielbereich zu „liefern“. Abhängig von seiner Geschwindigkeit wird das Spiel einfacher oder schwieriger.</w:t>
            </w:r>
          </w:p>
          <w:p w:rsidR="0087332A" w:rsidRPr="0087332A" w:rsidRDefault="00F92DCE" w:rsidP="0087332A">
            <w:r>
              <w:t>Synonyme: Güterzug, Containerzug</w:t>
            </w:r>
          </w:p>
        </w:tc>
      </w:tr>
      <w:tr w:rsidR="0087332A" w:rsidRPr="0087332A" w:rsidTr="004C6E92">
        <w:trPr>
          <w:cnfStyle w:val="000000100000" w:firstRow="0" w:lastRow="0" w:firstColumn="0" w:lastColumn="0" w:oddVBand="0" w:evenVBand="0" w:oddHBand="1" w:evenHBand="0" w:firstRowFirstColumn="0" w:firstRowLastColumn="0" w:lastRowFirstColumn="0" w:lastRowLastColumn="0"/>
        </w:trPr>
        <w:tc>
          <w:tcPr>
            <w:tcW w:w="1271" w:type="dxa"/>
          </w:tcPr>
          <w:p w:rsidR="0087332A" w:rsidRPr="0087332A" w:rsidRDefault="0087332A" w:rsidP="0087332A">
            <w:pPr>
              <w:jc w:val="right"/>
            </w:pPr>
            <w:r w:rsidRPr="0087332A">
              <w:t>Container</w:t>
            </w:r>
          </w:p>
        </w:tc>
        <w:tc>
          <w:tcPr>
            <w:tcW w:w="7791" w:type="dxa"/>
          </w:tcPr>
          <w:p w:rsidR="0087332A" w:rsidRDefault="004327F5" w:rsidP="0087332A">
            <w:r>
              <w:t>Ein Container muss durch den Spieler vom Zug auf das Schiff verladen werden. Container erscheinen in verschiedenen Ausführungen, die sich in Gewicht, Grösse und Farbe unterscheiden können.</w:t>
            </w:r>
          </w:p>
          <w:p w:rsidR="004327F5" w:rsidRPr="0087332A" w:rsidRDefault="004327F5" w:rsidP="0087332A">
            <w:r>
              <w:t>Synonyme: Frachtcontainer</w:t>
            </w:r>
          </w:p>
        </w:tc>
      </w:tr>
      <w:tr w:rsidR="0087332A" w:rsidRPr="0087332A" w:rsidTr="004C6E92">
        <w:tc>
          <w:tcPr>
            <w:tcW w:w="1271" w:type="dxa"/>
          </w:tcPr>
          <w:p w:rsidR="0087332A" w:rsidRPr="0087332A" w:rsidRDefault="0087332A" w:rsidP="0087332A">
            <w:pPr>
              <w:jc w:val="right"/>
            </w:pPr>
            <w:r w:rsidRPr="0087332A">
              <w:t>Kran</w:t>
            </w:r>
          </w:p>
        </w:tc>
        <w:tc>
          <w:tcPr>
            <w:tcW w:w="7791" w:type="dxa"/>
          </w:tcPr>
          <w:p w:rsidR="0087332A" w:rsidRDefault="003E67F0" w:rsidP="003E67F0">
            <w:r>
              <w:t>Der Kran hat die Aufgabe, Container vom Zug auf das Schiff zu befördern. Dabei bestimmt der Spieler welcher Container auf welche Position gesetzt werden soll.</w:t>
            </w:r>
            <w:r w:rsidR="002B2719">
              <w:t xml:space="preserve"> Der Kran führt diese Anweisung dann selbstständig durch.</w:t>
            </w:r>
          </w:p>
          <w:p w:rsidR="003E67F0" w:rsidRPr="0087332A" w:rsidRDefault="003E67F0" w:rsidP="003E67F0">
            <w:r>
              <w:t>Synonyme: Hafenkran</w:t>
            </w:r>
          </w:p>
        </w:tc>
      </w:tr>
      <w:tr w:rsidR="0087332A" w:rsidRPr="0087332A" w:rsidTr="004C6E92">
        <w:trPr>
          <w:cnfStyle w:val="000000100000" w:firstRow="0" w:lastRow="0" w:firstColumn="0" w:lastColumn="0" w:oddVBand="0" w:evenVBand="0" w:oddHBand="1" w:evenHBand="0" w:firstRowFirstColumn="0" w:firstRowLastColumn="0" w:lastRowFirstColumn="0" w:lastRowLastColumn="0"/>
        </w:trPr>
        <w:tc>
          <w:tcPr>
            <w:tcW w:w="1271" w:type="dxa"/>
          </w:tcPr>
          <w:p w:rsidR="0087332A" w:rsidRPr="0087332A" w:rsidRDefault="0087332A" w:rsidP="0087332A">
            <w:pPr>
              <w:jc w:val="right"/>
            </w:pPr>
            <w:r w:rsidRPr="0087332A">
              <w:t>Level</w:t>
            </w:r>
          </w:p>
        </w:tc>
        <w:tc>
          <w:tcPr>
            <w:tcW w:w="7791" w:type="dxa"/>
          </w:tcPr>
          <w:p w:rsidR="00E73D17" w:rsidRPr="0087332A" w:rsidRDefault="00E73D17" w:rsidP="0087332A">
            <w:r>
              <w:t>Ein Level ist eine vordefinierte Spielkonfiguration, die für den Karrieremodus benötigt wird. Es bestimmt, in welcher Reihenfolge welche Container vom Zug in den Spielbereich gebracht werden.</w:t>
            </w:r>
            <w:r w:rsidR="00F342D1">
              <w:t xml:space="preserve"> Levels sind persistent und werden vom Spiel geladen.</w:t>
            </w:r>
          </w:p>
        </w:tc>
      </w:tr>
      <w:tr w:rsidR="0087332A" w:rsidRPr="0087332A" w:rsidTr="004C6E92">
        <w:tc>
          <w:tcPr>
            <w:tcW w:w="1271" w:type="dxa"/>
          </w:tcPr>
          <w:p w:rsidR="0087332A" w:rsidRPr="0087332A" w:rsidRDefault="0087332A" w:rsidP="0087332A">
            <w:pPr>
              <w:jc w:val="right"/>
            </w:pPr>
            <w:r w:rsidRPr="0087332A">
              <w:t>Handicap</w:t>
            </w:r>
          </w:p>
        </w:tc>
        <w:tc>
          <w:tcPr>
            <w:tcW w:w="7791" w:type="dxa"/>
          </w:tcPr>
          <w:p w:rsidR="0087332A" w:rsidRPr="0087332A" w:rsidRDefault="00F342D1" w:rsidP="00F342D1">
            <w:r>
              <w:t xml:space="preserve">Das Handicap ist eine Sammlung von Parametern, die das Spiel für den Spieler schwieriger gestalten. Darunter fallen die Geschwindigkeit des Zuges, die Toleranz </w:t>
            </w:r>
            <w:r>
              <w:lastRenderedPageBreak/>
              <w:t xml:space="preserve">des Schiffes bezüglich ungleichmässiger Ladung und „blindes Versetzen“. Das Handicap ist </w:t>
            </w:r>
            <w:r>
              <w:t xml:space="preserve">persistent und </w:t>
            </w:r>
            <w:r>
              <w:t>wird</w:t>
            </w:r>
            <w:r>
              <w:t xml:space="preserve"> vom Spiel geladen.</w:t>
            </w:r>
          </w:p>
        </w:tc>
      </w:tr>
    </w:tbl>
    <w:p w:rsidR="0087332A" w:rsidRDefault="00E73D17" w:rsidP="00E73D17">
      <w:pPr>
        <w:pStyle w:val="berschrift2"/>
      </w:pPr>
      <w:r>
        <w:lastRenderedPageBreak/>
        <w:t>Sekundärbegriffe</w:t>
      </w:r>
    </w:p>
    <w:tbl>
      <w:tblPr>
        <w:tblStyle w:val="EinfacheTabelle4"/>
        <w:tblW w:w="0" w:type="auto"/>
        <w:tblLook w:val="0400" w:firstRow="0" w:lastRow="0" w:firstColumn="0" w:lastColumn="0" w:noHBand="0" w:noVBand="1"/>
      </w:tblPr>
      <w:tblGrid>
        <w:gridCol w:w="1545"/>
        <w:gridCol w:w="7527"/>
      </w:tblGrid>
      <w:tr w:rsidR="00E73D17" w:rsidRPr="0087332A" w:rsidTr="00EE56C7">
        <w:trPr>
          <w:cnfStyle w:val="000000100000" w:firstRow="0" w:lastRow="0" w:firstColumn="0" w:lastColumn="0" w:oddVBand="0" w:evenVBand="0" w:oddHBand="1" w:evenHBand="0" w:firstRowFirstColumn="0" w:firstRowLastColumn="0" w:lastRowFirstColumn="0" w:lastRowLastColumn="0"/>
        </w:trPr>
        <w:tc>
          <w:tcPr>
            <w:tcW w:w="1545" w:type="dxa"/>
          </w:tcPr>
          <w:p w:rsidR="00E73D17" w:rsidRPr="0087332A" w:rsidRDefault="00E73D17" w:rsidP="001567BE">
            <w:pPr>
              <w:jc w:val="right"/>
            </w:pPr>
            <w:r>
              <w:t>Spielbereich</w:t>
            </w:r>
          </w:p>
        </w:tc>
        <w:tc>
          <w:tcPr>
            <w:tcW w:w="7527" w:type="dxa"/>
          </w:tcPr>
          <w:p w:rsidR="00252EB9" w:rsidRDefault="00252EB9" w:rsidP="001567BE">
            <w:r>
              <w:t>Der Spielbereich ist der „</w:t>
            </w:r>
            <w:proofErr w:type="spellStart"/>
            <w:r>
              <w:t>Viewport</w:t>
            </w:r>
            <w:proofErr w:type="spellEnd"/>
            <w:r>
              <w:t>“, also der Teil des Spiels, der für den Spieler sichtbar auf dem Bildschirm erscheint. So können Objekte theoretisch im negativen Bereich des Spielkoordinatensystems und damit nicht im Spielbereich befinden.</w:t>
            </w:r>
          </w:p>
          <w:p w:rsidR="00E73D17" w:rsidRPr="0087332A" w:rsidRDefault="001E18D0" w:rsidP="001567BE">
            <w:r>
              <w:t>Synonyme: Spielfeld</w:t>
            </w:r>
          </w:p>
        </w:tc>
      </w:tr>
      <w:tr w:rsidR="00E73D17" w:rsidRPr="0087332A" w:rsidTr="00EE56C7">
        <w:tc>
          <w:tcPr>
            <w:tcW w:w="1545" w:type="dxa"/>
          </w:tcPr>
          <w:p w:rsidR="00E73D17" w:rsidRPr="0087332A" w:rsidRDefault="00E73D17" w:rsidP="001567BE">
            <w:pPr>
              <w:jc w:val="right"/>
            </w:pPr>
            <w:r>
              <w:t>Spielmodus</w:t>
            </w:r>
          </w:p>
        </w:tc>
        <w:tc>
          <w:tcPr>
            <w:tcW w:w="7527" w:type="dxa"/>
          </w:tcPr>
          <w:p w:rsidR="00157836" w:rsidRDefault="00157836" w:rsidP="00157836">
            <w:r>
              <w:t>Der Spielmodus ist eine Variante des Spiels. Während die Grundregeln und -Aufgaben (Schiff beladen) identisch bleiben, beeinflussen sie das Spielerlebnis wesentlich. Im Moment gibt es drei mögliche Spielmodi: Das Schnelle Spiel, das Unendliche Spiel und den Karrieremodus.</w:t>
            </w:r>
          </w:p>
          <w:p w:rsidR="00E73D17" w:rsidRPr="0087332A" w:rsidRDefault="00D261C6" w:rsidP="00157836">
            <w:r>
              <w:t>Synonyme: Spielvariante</w:t>
            </w:r>
          </w:p>
        </w:tc>
      </w:tr>
      <w:tr w:rsidR="00E73D17" w:rsidRPr="0087332A" w:rsidTr="00EE56C7">
        <w:trPr>
          <w:cnfStyle w:val="000000100000" w:firstRow="0" w:lastRow="0" w:firstColumn="0" w:lastColumn="0" w:oddVBand="0" w:evenVBand="0" w:oddHBand="1" w:evenHBand="0" w:firstRowFirstColumn="0" w:firstRowLastColumn="0" w:lastRowFirstColumn="0" w:lastRowLastColumn="0"/>
        </w:trPr>
        <w:tc>
          <w:tcPr>
            <w:tcW w:w="1545" w:type="dxa"/>
          </w:tcPr>
          <w:p w:rsidR="00E73D17" w:rsidRPr="0087332A" w:rsidRDefault="00E73D17" w:rsidP="001567BE">
            <w:pPr>
              <w:jc w:val="right"/>
            </w:pPr>
            <w:r>
              <w:t>Schnelles Spiel</w:t>
            </w:r>
          </w:p>
        </w:tc>
        <w:tc>
          <w:tcPr>
            <w:tcW w:w="7527" w:type="dxa"/>
          </w:tcPr>
          <w:p w:rsidR="00E73D17" w:rsidRDefault="00157836" w:rsidP="00157836">
            <w:r>
              <w:t>Das schnelle Spiel ist der simpelste Spielmodus. Er beinhaltet ausschliesslich die Grundregeln.</w:t>
            </w:r>
          </w:p>
          <w:p w:rsidR="00157836" w:rsidRDefault="00AE155C" w:rsidP="00157836">
            <w:r>
              <w:t>Synonyme: Quick Game</w:t>
            </w:r>
          </w:p>
          <w:p w:rsidR="00AE155C" w:rsidRPr="0087332A" w:rsidRDefault="00AE155C" w:rsidP="00157836">
            <w:r>
              <w:t xml:space="preserve">Beziehungen: </w:t>
            </w:r>
            <w:proofErr w:type="spellStart"/>
            <w:r>
              <w:t>Use</w:t>
            </w:r>
            <w:proofErr w:type="spellEnd"/>
            <w:r>
              <w:t xml:space="preserve"> Case „Schnelles Spiel“</w:t>
            </w:r>
          </w:p>
        </w:tc>
      </w:tr>
      <w:tr w:rsidR="00E73D17" w:rsidRPr="0087332A" w:rsidTr="00EE56C7">
        <w:tc>
          <w:tcPr>
            <w:tcW w:w="1545" w:type="dxa"/>
          </w:tcPr>
          <w:p w:rsidR="00E73D17" w:rsidRDefault="00E73D17" w:rsidP="001567BE">
            <w:pPr>
              <w:jc w:val="right"/>
            </w:pPr>
            <w:r>
              <w:t>Unendliches Spiel</w:t>
            </w:r>
          </w:p>
        </w:tc>
        <w:tc>
          <w:tcPr>
            <w:tcW w:w="7527" w:type="dxa"/>
          </w:tcPr>
          <w:p w:rsidR="00E73D17" w:rsidRDefault="00AE155C" w:rsidP="00AE155C">
            <w:r>
              <w:t>Das unendliche Spiel baut auf dem schnellen Spiel auf, ist aber zeitlich nicht begrenzt. Bloss die ansteigende Schwierigkeit limitiert die Spieldauer. Im Gegensatz zum schnellen Spiel können mehrere Schiffe in Progression beladen werden.</w:t>
            </w:r>
          </w:p>
          <w:p w:rsidR="00AE155C" w:rsidRDefault="00AE155C" w:rsidP="00AE155C">
            <w:r>
              <w:t xml:space="preserve">Synonyme: Endloses Spiel, </w:t>
            </w:r>
            <w:proofErr w:type="spellStart"/>
            <w:r>
              <w:t>Endless</w:t>
            </w:r>
            <w:proofErr w:type="spellEnd"/>
            <w:r>
              <w:t xml:space="preserve"> Game, Infinite Game</w:t>
            </w:r>
          </w:p>
          <w:p w:rsidR="00CE0EB7" w:rsidRPr="0087332A" w:rsidRDefault="00CE0EB7" w:rsidP="00AE155C">
            <w:r>
              <w:t xml:space="preserve">Beziehungen: </w:t>
            </w:r>
            <w:proofErr w:type="spellStart"/>
            <w:r>
              <w:t>Use</w:t>
            </w:r>
            <w:proofErr w:type="spellEnd"/>
            <w:r>
              <w:t xml:space="preserve"> Case „Unendliches Spiel“</w:t>
            </w:r>
          </w:p>
        </w:tc>
      </w:tr>
      <w:tr w:rsidR="00E73D17" w:rsidRPr="0087332A" w:rsidTr="00EE56C7">
        <w:trPr>
          <w:cnfStyle w:val="000000100000" w:firstRow="0" w:lastRow="0" w:firstColumn="0" w:lastColumn="0" w:oddVBand="0" w:evenVBand="0" w:oddHBand="1" w:evenHBand="0" w:firstRowFirstColumn="0" w:firstRowLastColumn="0" w:lastRowFirstColumn="0" w:lastRowLastColumn="0"/>
        </w:trPr>
        <w:tc>
          <w:tcPr>
            <w:tcW w:w="1545" w:type="dxa"/>
          </w:tcPr>
          <w:p w:rsidR="00E73D17" w:rsidRDefault="00E73D17" w:rsidP="001567BE">
            <w:pPr>
              <w:jc w:val="right"/>
            </w:pPr>
            <w:r>
              <w:t>Karrieremodus</w:t>
            </w:r>
          </w:p>
        </w:tc>
        <w:tc>
          <w:tcPr>
            <w:tcW w:w="7527" w:type="dxa"/>
          </w:tcPr>
          <w:p w:rsidR="00E73D17" w:rsidRDefault="00EE56C7" w:rsidP="001567BE">
            <w:r>
              <w:t>Der Karrieremodus teilt das Spielerlebnis in mehrere, vordefinierte Level auf. Ist ein Level geschafft, wird der nächste freigeschaltet.</w:t>
            </w:r>
          </w:p>
          <w:p w:rsidR="00EE56C7" w:rsidRDefault="00EE56C7" w:rsidP="001567BE">
            <w:r>
              <w:t>Synonyme: Career Game</w:t>
            </w:r>
          </w:p>
          <w:p w:rsidR="00CE0EB7" w:rsidRPr="0087332A" w:rsidRDefault="00CE0EB7" w:rsidP="001567BE">
            <w:r>
              <w:t>Beziehungen: „</w:t>
            </w:r>
            <w:r>
              <w:t>Karriere-Modus mit Level-Freischaltung</w:t>
            </w:r>
            <w:bookmarkStart w:id="0" w:name="_GoBack"/>
            <w:bookmarkEnd w:id="0"/>
            <w:r>
              <w:t>“</w:t>
            </w:r>
          </w:p>
        </w:tc>
      </w:tr>
    </w:tbl>
    <w:p w:rsidR="00E73D17" w:rsidRPr="00E73D17" w:rsidRDefault="00E73D17" w:rsidP="00E73D17"/>
    <w:sectPr w:rsidR="00E73D17" w:rsidRPr="00E73D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6A1E2A"/>
    <w:multiLevelType w:val="hybridMultilevel"/>
    <w:tmpl w:val="D4D446E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60"/>
    <w:rsid w:val="000E2C84"/>
    <w:rsid w:val="00127E4D"/>
    <w:rsid w:val="00155A5C"/>
    <w:rsid w:val="00157836"/>
    <w:rsid w:val="001E18D0"/>
    <w:rsid w:val="001F272B"/>
    <w:rsid w:val="00203482"/>
    <w:rsid w:val="00252EB9"/>
    <w:rsid w:val="00270C82"/>
    <w:rsid w:val="002B18ED"/>
    <w:rsid w:val="002B2719"/>
    <w:rsid w:val="002E1D60"/>
    <w:rsid w:val="00320314"/>
    <w:rsid w:val="003B54AD"/>
    <w:rsid w:val="003E67F0"/>
    <w:rsid w:val="004327F5"/>
    <w:rsid w:val="004B35F3"/>
    <w:rsid w:val="004C6E92"/>
    <w:rsid w:val="005F77B8"/>
    <w:rsid w:val="006279F0"/>
    <w:rsid w:val="00767BAA"/>
    <w:rsid w:val="0087332A"/>
    <w:rsid w:val="008A74D8"/>
    <w:rsid w:val="008D3C7E"/>
    <w:rsid w:val="00910B97"/>
    <w:rsid w:val="00AE155C"/>
    <w:rsid w:val="00AE2A42"/>
    <w:rsid w:val="00B0314B"/>
    <w:rsid w:val="00B7753C"/>
    <w:rsid w:val="00B93046"/>
    <w:rsid w:val="00BF4FC5"/>
    <w:rsid w:val="00CA2E28"/>
    <w:rsid w:val="00CD5A9A"/>
    <w:rsid w:val="00CE0EB7"/>
    <w:rsid w:val="00D261C6"/>
    <w:rsid w:val="00D53A53"/>
    <w:rsid w:val="00E73D17"/>
    <w:rsid w:val="00E82AB8"/>
    <w:rsid w:val="00EE56C7"/>
    <w:rsid w:val="00F342D1"/>
    <w:rsid w:val="00F92DC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E3BFAD-F073-48E8-97CA-5A7C3D9B4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0314B"/>
    <w:rPr>
      <w:rFonts w:ascii="Calibri" w:hAnsi="Calibri"/>
    </w:rPr>
  </w:style>
  <w:style w:type="paragraph" w:styleId="berschrift1">
    <w:name w:val="heading 1"/>
    <w:basedOn w:val="Standard"/>
    <w:next w:val="Standard"/>
    <w:link w:val="berschrift1Zchn"/>
    <w:uiPriority w:val="9"/>
    <w:qFormat/>
    <w:rsid w:val="00B0314B"/>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berschrift2">
    <w:name w:val="heading 2"/>
    <w:basedOn w:val="Standard"/>
    <w:next w:val="Standard"/>
    <w:link w:val="berschrift2Zchn"/>
    <w:uiPriority w:val="9"/>
    <w:unhideWhenUsed/>
    <w:qFormat/>
    <w:rsid w:val="00B0314B"/>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0314B"/>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elZchn">
    <w:name w:val="Titel Zchn"/>
    <w:basedOn w:val="Absatz-Standardschriftart"/>
    <w:link w:val="Titel"/>
    <w:uiPriority w:val="10"/>
    <w:rsid w:val="00B0314B"/>
    <w:rPr>
      <w:rFonts w:asciiTheme="majorHAnsi" w:eastAsiaTheme="majorEastAsia" w:hAnsiTheme="majorHAnsi" w:cstheme="majorBidi"/>
      <w:color w:val="404040" w:themeColor="text1" w:themeTint="BF"/>
      <w:spacing w:val="5"/>
      <w:kern w:val="28"/>
      <w:sz w:val="52"/>
      <w:szCs w:val="52"/>
    </w:rPr>
  </w:style>
  <w:style w:type="character" w:customStyle="1" w:styleId="berschrift1Zchn">
    <w:name w:val="Überschrift 1 Zchn"/>
    <w:basedOn w:val="Absatz-Standardschriftart"/>
    <w:link w:val="berschrift1"/>
    <w:uiPriority w:val="9"/>
    <w:rsid w:val="00B0314B"/>
    <w:rPr>
      <w:rFonts w:asciiTheme="majorHAnsi" w:eastAsiaTheme="majorEastAsia" w:hAnsiTheme="majorHAnsi" w:cstheme="majorBidi"/>
      <w:b/>
      <w:bCs/>
      <w:color w:val="595959" w:themeColor="text1" w:themeTint="A6"/>
      <w:sz w:val="28"/>
      <w:szCs w:val="28"/>
    </w:rPr>
  </w:style>
  <w:style w:type="character" w:customStyle="1" w:styleId="berschrift2Zchn">
    <w:name w:val="Überschrift 2 Zchn"/>
    <w:basedOn w:val="Absatz-Standardschriftart"/>
    <w:link w:val="berschrift2"/>
    <w:uiPriority w:val="9"/>
    <w:rsid w:val="00B0314B"/>
    <w:rPr>
      <w:rFonts w:asciiTheme="majorHAnsi" w:eastAsiaTheme="majorEastAsia" w:hAnsiTheme="majorHAnsi" w:cstheme="majorBidi"/>
      <w:b/>
      <w:bCs/>
      <w:color w:val="595959" w:themeColor="text1" w:themeTint="A6"/>
      <w:sz w:val="26"/>
      <w:szCs w:val="26"/>
    </w:rPr>
  </w:style>
  <w:style w:type="paragraph" w:styleId="Untertitel">
    <w:name w:val="Subtitle"/>
    <w:basedOn w:val="Standard"/>
    <w:next w:val="Standard"/>
    <w:link w:val="UntertitelZchn"/>
    <w:uiPriority w:val="11"/>
    <w:qFormat/>
    <w:rsid w:val="00B0314B"/>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B0314B"/>
    <w:rPr>
      <w:rFonts w:asciiTheme="majorHAnsi" w:eastAsiaTheme="majorEastAsia" w:hAnsiTheme="majorHAnsi" w:cstheme="majorBidi"/>
      <w:i/>
      <w:iCs/>
      <w:spacing w:val="15"/>
      <w:sz w:val="24"/>
      <w:szCs w:val="24"/>
    </w:rPr>
  </w:style>
  <w:style w:type="paragraph" w:styleId="KeinLeerraum">
    <w:name w:val="No Spacing"/>
    <w:uiPriority w:val="1"/>
    <w:qFormat/>
    <w:rsid w:val="00B0314B"/>
    <w:pPr>
      <w:spacing w:after="0" w:line="240" w:lineRule="auto"/>
    </w:pPr>
    <w:rPr>
      <w:rFonts w:ascii="Calibri" w:hAnsi="Calibri"/>
    </w:rPr>
  </w:style>
  <w:style w:type="paragraph" w:styleId="Listenabsatz">
    <w:name w:val="List Paragraph"/>
    <w:basedOn w:val="Standard"/>
    <w:uiPriority w:val="34"/>
    <w:qFormat/>
    <w:rsid w:val="00B0314B"/>
    <w:pPr>
      <w:ind w:left="720"/>
      <w:contextualSpacing/>
    </w:pPr>
  </w:style>
  <w:style w:type="character" w:styleId="IntensiveHervorhebung">
    <w:name w:val="Intense Emphasis"/>
    <w:basedOn w:val="Absatz-Standardschriftart"/>
    <w:uiPriority w:val="21"/>
    <w:qFormat/>
    <w:rsid w:val="00B0314B"/>
    <w:rPr>
      <w:b/>
      <w:bCs/>
      <w:i/>
      <w:iCs/>
      <w:color w:val="auto"/>
    </w:rPr>
  </w:style>
  <w:style w:type="table" w:styleId="Tabellenraster">
    <w:name w:val="Table Grid"/>
    <w:basedOn w:val="NormaleTabelle"/>
    <w:uiPriority w:val="59"/>
    <w:rsid w:val="00B77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4C6E9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3369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remo.hoeppli@outlook.com</dc:creator>
  <cp:keywords/>
  <dc:description/>
  <cp:lastModifiedBy>yacine mekesser</cp:lastModifiedBy>
  <cp:revision>17</cp:revision>
  <dcterms:created xsi:type="dcterms:W3CDTF">2014-10-09T16:47:00Z</dcterms:created>
  <dcterms:modified xsi:type="dcterms:W3CDTF">2014-10-15T18:48:00Z</dcterms:modified>
</cp:coreProperties>
</file>