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custom"/>
      <w:pPr>
        <w:pStyle w:val="Heading4"/>
      </w:pPr>
      <w:r>
        <w:t>&lt;custom&gt;</w:t>
      </w:r>
      <w:bookmarkEnd w:id="159"/>
    </w:p>
    <w:p>
      <w:r>
        <w:t>Custom metadata, e.g. for application-specific purposes.</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location"/>
      <w:pPr>
        <w:pStyle w:val="Heading4"/>
      </w:pPr>
      <w:r>
        <w:t>&lt;location&gt;</w:t>
      </w:r>
      <w:bookmarkEnd w:id="163"/>
    </w:p>
    <w:p>
      <w:r>
        <w:t>Coordinate system is the bottom-left corner of the page.</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66" w:name="allowed-content-types"/>
      <w:pPr>
        <w:pStyle w:val="Heading5"/>
      </w:pPr>
      <w:r>
        <w:t>Allowed Content Types</w:t>
      </w:r>
      <w:bookmarkEnd w:id="166"/>
    </w:p>
    <w:p>
      <w:r>
        <w:t>None (empty element).</w:t>
      </w:r>
    </w:p>
    <w:p>
      <w:bookmarkStart w:id="167" w:name="payload-elements"/>
      <w:pPr>
        <w:pStyle w:val="Heading3"/>
      </w:pPr>
      <w:r>
        <w:t>Payload Elements</w:t>
      </w:r>
      <w:bookmarkEnd w:id="167"/>
    </w:p>
    <w:p>
      <w:r>
        <w:t>Payload elements are low-level elements that help define the effective content of another element.</w:t>
      </w:r>
    </w:p>
    <w:p>
      <w:bookmarkStart w:id="168" w:name="src"/>
      <w:pPr>
        <w:pStyle w:val="Heading4"/>
      </w:pPr>
      <w:r>
        <w:t>&lt;src&gt;</w:t>
      </w:r>
      <w:bookmarkEnd w:id="168"/>
    </w:p>
    <w:p>
      <w:r>
        <w:t>The image's source.</w:t>
      </w:r>
    </w:p>
    <w:p>
      <w:bookmarkStart w:id="169" w:name="allowed-context"/>
      <w:pPr>
        <w:pStyle w:val="Heading5"/>
      </w:pPr>
      <w:r>
        <w:t>Allowed Context</w:t>
      </w:r>
      <w:bookmarkEnd w:id="169"/>
    </w:p>
    <w:p>
      <w:r>
        <w:t xml:space="preserve">Can only be child of </w:t>
      </w:r>
      <w:hyperlink w:anchor="picture">
        <w:r>
          <w:rPr>
            <w:rFonts w:ascii="Consolas" w:hAnsi="Consolas"/>
            <w:shd w:val="clear" w:color="auto" w:fill="F2F2F2"/>
            <w:rStyle w:val="Hyperlink"/>
          </w:rPr>
          <w:t>&lt;picture&gt;</w:t>
        </w:r>
      </w:hyperlink>
      <w:r>
        <w:t>.</w:t>
      </w:r>
    </w:p>
    <w:p>
      <w:bookmarkStart w:id="170" w:name="attributes"/>
      <w:pPr>
        <w:pStyle w:val="Heading5"/>
      </w:pPr>
      <w:r>
        <w:t>Attributes</w:t>
      </w:r>
      <w:bookmarkEnd w:id="1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1" w:name="allowed-content-types"/>
      <w:pPr>
        <w:pStyle w:val="Heading5"/>
      </w:pPr>
      <w:r>
        <w:t>Allowed Content Types</w:t>
      </w:r>
      <w:bookmarkEnd w:id="171"/>
    </w:p>
    <w:p>
      <w:r>
        <w:t>None (empty element).</w:t>
      </w:r>
    </w:p>
    <w:p>
      <w:bookmarkStart w:id="172" w:name="checkbox"/>
      <w:pPr>
        <w:pStyle w:val="Heading4"/>
      </w:pPr>
      <w:r>
        <w:t>&lt;checkbox&gt;</w:t>
      </w:r>
      <w:bookmarkEnd w:id="172"/>
    </w:p>
    <w:p>
      <w:bookmarkStart w:id="173" w:name="allowed-context"/>
      <w:pPr>
        <w:pStyle w:val="Heading5"/>
      </w:pPr>
      <w:r>
        <w:t>Allowed Context</w:t>
      </w:r>
      <w:bookmarkEnd w:id="173"/>
    </w:p>
    <w:p>
      <w:r>
        <w:t>Any context that allows raw text content.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5" w:name="allowed-content-types"/>
      <w:pPr>
        <w:pStyle w:val="Heading5"/>
      </w:pPr>
      <w:r>
        <w:t>Allowed Content Types</w:t>
      </w:r>
      <w:bookmarkEnd w:id="175"/>
    </w:p>
    <w:p>
      <w:r>
        <w:t>None (empty element).</w:t>
      </w:r>
    </w:p>
    <w:p>
      <w:bookmarkStart w:id="176" w:name="content"/>
      <w:pPr>
        <w:pStyle w:val="Heading4"/>
      </w:pPr>
      <w:r>
        <w:t>&lt;content&gt;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p>
      <w:r>
        <w:t>None</w:t>
      </w:r>
    </w:p>
    <w:p>
      <w:bookmarkStart w:id="179" w:name="allowed-content-types"/>
      <w:pPr>
        <w:pStyle w:val="Heading5"/>
      </w:pPr>
      <w:r>
        <w:t>Allowed Content Types</w:t>
      </w:r>
      <w:bookmarkEnd w:id="1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0" w:name="formatting-elements"/>
      <w:pPr>
        <w:pStyle w:val="Heading3"/>
      </w:pPr>
      <w:r>
        <w:t>Formatting Elements</w:t>
      </w:r>
      <w:bookmarkEnd w:id="180"/>
    </w:p>
    <w:p>
      <w:r>
        <w:t>Formatting elements modify the styling and presentation within semantic or other formatting elements.</w:t>
      </w:r>
    </w:p>
    <w:p>
      <w:bookmarkStart w:id="181" w:name="bold"/>
      <w:pPr>
        <w:pStyle w:val="Heading4"/>
      </w:pPr>
      <w:r>
        <w:t>&lt;bold&gt;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p>
      <w:r>
        <w:t>None</w:t>
      </w:r>
    </w:p>
    <w:p>
      <w:bookmarkStart w:id="184" w:name="allowed-content-types"/>
      <w:pPr>
        <w:pStyle w:val="Heading5"/>
      </w:pPr>
      <w:r>
        <w:t>Allowed Content Types</w:t>
      </w:r>
      <w:bookmarkEnd w:id="1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5" w:name="italic"/>
      <w:pPr>
        <w:pStyle w:val="Heading4"/>
      </w:pPr>
      <w:r>
        <w:t>&lt;italic&gt;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underline"/>
      <w:pPr>
        <w:pStyle w:val="Heading4"/>
      </w:pPr>
      <w:r>
        <w:t>&lt;underline&gt;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strikethrough"/>
      <w:pPr>
        <w:pStyle w:val="Heading4"/>
      </w:pPr>
      <w:r>
        <w:t>&lt;strikethrough&gt;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uperscript"/>
      <w:pPr>
        <w:pStyle w:val="Heading4"/>
      </w:pPr>
      <w:r>
        <w:t>&lt;superscript&gt;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bscript"/>
      <w:pPr>
        <w:pStyle w:val="Heading4"/>
      </w:pPr>
      <w:r>
        <w:t>&lt;subscript&gt;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handwriting"/>
      <w:pPr>
        <w:pStyle w:val="Heading4"/>
      </w:pPr>
      <w:r>
        <w:t>&lt;handwriting&gt;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rtl"/>
      <w:pPr>
        <w:pStyle w:val="Heading4"/>
      </w:pPr>
      <w:r>
        <w:t>&lt;rtl&gt;</w:t>
      </w:r>
      <w:bookmarkEnd w:id="209"/>
    </w:p>
    <w:p>
      <w:r>
        <w:t>Indicates right-to-left direction.</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tructural-elements"/>
      <w:pPr>
        <w:pStyle w:val="Heading3"/>
      </w:pPr>
      <w:r>
        <w:t>Structural Elements</w:t>
      </w:r>
      <w:bookmarkEnd w:id="213"/>
    </w:p>
    <w:p>
      <w:r>
        <w:t>Structural elements define boundaries within explicitly structured components like tables and lists.</w:t>
      </w:r>
    </w:p>
    <w:p>
      <w:bookmarkStart w:id="214" w:name="fcel"/>
      <w:pPr>
        <w:pStyle w:val="Heading4"/>
      </w:pPr>
      <w:r>
        <w:t>&lt;fcel&gt;</w:t>
      </w:r>
      <w:bookmarkEnd w:id="214"/>
    </w:p>
    <w:p>
      <w:r>
        <w:t>Indicates the beginning of a full / regular cell.</w:t>
      </w:r>
    </w:p>
    <w:p>
      <w:bookmarkStart w:id="215" w:name="allowed-context"/>
      <w:pPr>
        <w:pStyle w:val="Heading5"/>
      </w:pPr>
      <w:r>
        <w:t>Allowed Context</w:t>
      </w:r>
      <w:bookmarkEnd w:id="215"/>
    </w:p>
    <w:p>
      <w:r>
        <w:t xml:space="preserve">Can only be child of </w:t>
      </w:r>
      <w:hyperlink w:anchor="table">
        <w:r>
          <w:rPr>
            <w:rFonts w:ascii="Consolas" w:hAnsi="Consolas"/>
            <w:shd w:val="clear" w:color="auto" w:fill="F2F2F2"/>
            <w:rStyle w:val="Hyperlink"/>
          </w:rPr>
          <w:t>&lt;table&gt;</w:t>
        </w:r>
      </w:hyperlink>
      <w:r>
        <w: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p>
      <w:r>
        <w:t>None (empty element).</w:t>
      </w:r>
    </w:p>
    <w:p>
      <w:bookmarkStart w:id="218" w:name="ecel"/>
      <w:pPr>
        <w:pStyle w:val="Heading4"/>
      </w:pPr>
      <w:r>
        <w:t>&lt;ecel&gt;</w:t>
      </w:r>
      <w:bookmarkEnd w:id="218"/>
    </w:p>
    <w:p>
      <w:r>
        <w:t>Indicates the beginning of an empty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ched"/>
      <w:pPr>
        <w:pStyle w:val="Heading4"/>
      </w:pPr>
      <w:r>
        <w:t>&lt;ched&gt;</w:t>
      </w:r>
      <w:bookmarkEnd w:id="222"/>
    </w:p>
    <w:p>
      <w:r>
        <w:t>Indicates the beginning of a column header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rhed"/>
      <w:pPr>
        <w:pStyle w:val="Heading4"/>
      </w:pPr>
      <w:r>
        <w:t>&lt;rhed&gt;</w:t>
      </w:r>
      <w:bookmarkEnd w:id="226"/>
    </w:p>
    <w:p>
      <w:r>
        <w:t>Indicates the beginning of a row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orn"/>
      <w:pPr>
        <w:pStyle w:val="Heading4"/>
      </w:pPr>
      <w:r>
        <w:t>&lt;corn&gt;</w:t>
      </w:r>
      <w:bookmarkEnd w:id="230"/>
    </w:p>
    <w:p>
      <w:r>
        <w:t>Indicates the beginning of a corner cell, typically the top-left header intersection.</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srow"/>
      <w:pPr>
        <w:pStyle w:val="Heading4"/>
      </w:pPr>
      <w:r>
        <w:t>&lt;srow&gt;</w:t>
      </w:r>
      <w:bookmarkEnd w:id="234"/>
    </w:p>
    <w:p>
      <w:r>
        <w:t>Indicates the beginning of a section row header.</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lcel"/>
      <w:pPr>
        <w:pStyle w:val="Heading4"/>
      </w:pPr>
      <w:r>
        <w:t>&lt;lcel&gt;</w:t>
      </w:r>
      <w:bookmarkEnd w:id="238"/>
    </w:p>
    <w:p>
      <w:r>
        <w:t>Left-merge extension token; extends the previous cell horizontally (colspan continuation).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ucel"/>
      <w:pPr>
        <w:pStyle w:val="Heading4"/>
      </w:pPr>
      <w:r>
        <w:t>&lt;ucel&gt;</w:t>
      </w:r>
      <w:bookmarkEnd w:id="242"/>
    </w:p>
    <w:p>
      <w:r>
        <w:t>Upward-merge extension token; extends the cell above vertically (rowspan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xcel"/>
      <w:pPr>
        <w:pStyle w:val="Heading4"/>
      </w:pPr>
      <w:r>
        <w:t>&lt;xcel&gt;</w:t>
      </w:r>
      <w:bookmarkEnd w:id="246"/>
    </w:p>
    <w:p>
      <w:r>
        <w:t>Cross/combined span extension token; used where both horizontal and vertical spanning intersect.</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nl"/>
      <w:pPr>
        <w:pStyle w:val="Heading4"/>
      </w:pPr>
      <w:r>
        <w:t>&lt;nl&gt;</w:t>
      </w:r>
      <w:bookmarkEnd w:id="250"/>
    </w:p>
    <w:p>
      <w:r>
        <w:t>New line / new table row.</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div"/>
      <w:pPr>
        <w:pStyle w:val="Heading4"/>
      </w:pPr>
      <w:r>
        <w:t>&lt;ldiv&gt;</w:t>
      </w:r>
      <w:bookmarkEnd w:id="25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5" w:name="allowed-context"/>
      <w:pPr>
        <w:pStyle w:val="Heading5"/>
      </w:pPr>
      <w:r>
        <w:t>Allowed Context</w:t>
      </w:r>
      <w:bookmarkEnd w:id="255"/>
    </w:p>
    <w:p>
      <w:r>
        <w:t xml:space="preserve">Can only be child of </w:t>
      </w:r>
      <w:hyperlink w:anchor="list">
        <w:r>
          <w:rPr>
            <w:rFonts w:ascii="Consolas" w:hAnsi="Consolas"/>
            <w:shd w:val="clear" w:color="auto" w:fill="F2F2F2"/>
            <w:rStyle w:val="Hyperlink"/>
          </w:rPr>
          <w:t>&lt;list&gt;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58" w:name="document-head-elements"/>
      <w:pPr>
        <w:pStyle w:val="Heading3"/>
      </w:pPr>
      <w:r>
        <w:t>Document Head Elements</w:t>
      </w:r>
      <w:bookmarkEnd w:id="25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59" w:name="default_resolution"/>
      <w:pPr>
        <w:pStyle w:val="Heading4"/>
      </w:pPr>
      <w:r>
        <w:t>&lt;default_resolution&gt;</w:t>
      </w:r>
      <w:bookmarkEnd w:id="259"/>
    </w:p>
    <w:p>
      <w:r>
        <w:t>Defines the default resolution for the document.</w:t>
      </w:r>
    </w:p>
    <w:p>
      <w:bookmarkStart w:id="260" w:name="allowed-context"/>
      <w:pPr>
        <w:pStyle w:val="Heading5"/>
      </w:pPr>
      <w:r>
        <w:t>Allowed Context</w:t>
      </w:r>
      <w:bookmarkEnd w:id="260"/>
    </w:p>
    <w:p>
      <w:r>
        <w:t xml:space="preserve">Can only be child of </w:t>
      </w:r>
      <w:hyperlink w:anchor="head">
        <w:r>
          <w:rPr>
            <w:rFonts w:ascii="Consolas" w:hAnsi="Consolas"/>
            <w:shd w:val="clear" w:color="auto" w:fill="F2F2F2"/>
            <w:rStyle w:val="Hyperlink"/>
          </w:rPr>
          <w:t>&lt;head&gt;</w:t>
        </w:r>
      </w:hyperlink>
      <w:r>
        <w:t>.</w:t>
      </w:r>
    </w:p>
    <w:p>
      <w:bookmarkStart w:id="261" w:name="attributes"/>
      <w:pPr>
        <w:pStyle w:val="Heading5"/>
      </w:pPr>
      <w:r>
        <w:t>Attributes</w:t>
      </w:r>
      <w:bookmarkEnd w:id="2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2" w:name="allowed-content-types"/>
      <w:pPr>
        <w:pStyle w:val="Heading5"/>
      </w:pPr>
      <w:r>
        <w:t>Allowed Content Types</w:t>
      </w:r>
      <w:bookmarkEnd w:id="262"/>
    </w:p>
    <w:p>
      <w:r>
        <w:t>None (empty element).</w:t>
      </w:r>
    </w:p>
    <w:p>
      <w:bookmarkStart w:id="263" w:name="appendix-b:-planned-features"/>
      <w:pPr>
        <w:pStyle w:val="Heading2"/>
      </w:pPr>
      <w:r>
        <w:t>Appendix B: Planned Features</w:t>
      </w:r>
      <w:bookmarkEnd w:id="263"/>
    </w:p>
    <w:p>
      <w:r>
        <w:t>These features are considered for future versions of the standard.</w:t>
      </w:r>
    </w:p>
    <w:p>
      <w:bookmarkStart w:id="264" w:name="horizontal-threading"/>
      <w:pPr>
        <w:pStyle w:val="Heading3"/>
      </w:pPr>
      <w:r>
        <w:t>Horizontal Threading</w:t>
      </w:r>
      <w:bookmarkEnd w:id="26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5" w:name="layers"/>
      <w:pPr>
        <w:pStyle w:val="Heading3"/>
      </w:pPr>
      <w:r>
        <w:t>Layers</w:t>
      </w:r>
      <w:bookmarkEnd w:id="265"/>
    </w:p>
    <w:p>
      <w:r>
        <w:t>Layers enable separating the document's main content (such as text and images) from supplementary information (such as guides or decorations).</w:t>
      </w:r>
    </w:p>
    <w:p>
      <w:bookmarkStart w:id="266" w:name="metadata"/>
      <w:pPr>
        <w:pStyle w:val="Heading3"/>
      </w:pPr>
      <w:r>
        <w:t>Metadata</w:t>
      </w:r>
      <w:bookmarkEnd w:id="266"/>
    </w:p>
    <w:p>
      <w:bookmarkStart w:id="267" w:name="head"/>
      <w:pPr>
        <w:pStyle w:val="Heading4"/>
      </w:pPr>
      <w:r>
        <w:t>&lt;head&gt;</w:t>
      </w:r>
      <w:bookmarkEnd w:id="26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68" w:name="governance-and-compliance-metadata"/>
      <w:pPr>
        <w:pStyle w:val="Heading5"/>
      </w:pPr>
      <w:r>
        <w:t>Governance and compliance metadata</w:t>
      </w:r>
      <w:bookmarkEnd w:id="26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69" w:name="standards-reference-and-interpretation"/>
      <w:pPr>
        <w:pStyle w:val="Heading6"/>
      </w:pPr>
      <w:r>
        <w:t>Standards reference and interpretation</w:t>
      </w:r>
      <w:bookmarkEnd w:id="26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0" w:name="governance-narrative-and-flow"/>
      <w:pPr>
        <w:pStyle w:val="Heading6"/>
      </w:pPr>
      <w:r>
        <w:t>Governance narrative and flow</w:t>
      </w:r>
      <w:bookmarkEnd w:id="27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1" w:name="naming-and-terminology-conventions"/>
      <w:pPr>
        <w:pStyle w:val="Heading6"/>
      </w:pPr>
      <w:r>
        <w:t>Naming and terminology conventions</w:t>
      </w:r>
      <w:bookmarkEnd w:id="27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2" w:name="governance-overview"/>
      <w:pPr>
        <w:pStyle w:val="Heading6"/>
      </w:pPr>
      <w:r>
        <w:t>Governance overview</w:t>
      </w:r>
      <w:bookmarkEnd w:id="272"/>
    </w:p>
    <w:p>
      <w:r>
        <w:t>Governance metadata is intended to be machine-actionable: it should enable downstream systems (including AI systems) to determine what is permitted, under what constraints, and with what obligations.</w:t>
      </w:r>
    </w:p>
    <w:p>
      <w:bookmarkStart w:id="273" w:name="licensing-and-rights"/>
      <w:pPr>
        <w:pStyle w:val="Heading6"/>
      </w:pPr>
      <w:r>
        <w:t>Licensing and rights</w:t>
      </w:r>
      <w:bookmarkEnd w:id="27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4" w:name="data-classification-and-privacy-posture"/>
      <w:pPr>
        <w:pStyle w:val="Heading6"/>
      </w:pPr>
      <w:r>
        <w:t>Data classification and privacy posture</w:t>
      </w:r>
      <w:bookmarkEnd w:id="27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5" w:name="acceptable-use-and-purpose-limitation"/>
      <w:pPr>
        <w:pStyle w:val="Heading6"/>
      </w:pPr>
      <w:r>
        <w:t>Acceptable use and purpose limitation</w:t>
      </w:r>
      <w:bookmarkEnd w:id="27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76" w:name="stewardship-and-contact"/>
      <w:pPr>
        <w:pStyle w:val="Heading6"/>
      </w:pPr>
      <w:r>
        <w:t>Stewardship and contact</w:t>
      </w:r>
      <w:bookmarkEnd w:id="27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77" w:name="access-control-policy"/>
      <w:pPr>
        <w:pStyle w:val="Heading6"/>
      </w:pPr>
      <w:r>
        <w:t>Access control policy</w:t>
      </w:r>
      <w:bookmarkEnd w:id="27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78" w:name="retention-and-deletion"/>
      <w:pPr>
        <w:pStyle w:val="Heading6"/>
      </w:pPr>
      <w:r>
        <w:t>Retention and deletion</w:t>
      </w:r>
      <w:bookmarkEnd w:id="27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79" w:name="compliance-frameworks"/>
      <w:pPr>
        <w:pStyle w:val="Heading6"/>
      </w:pPr>
      <w:r>
        <w:t>Compliance frameworks</w:t>
      </w:r>
      <w:bookmarkEnd w:id="27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0" w:name="privacy-and-pii-controls"/>
      <w:pPr>
        <w:pStyle w:val="Heading6"/>
      </w:pPr>
      <w:r>
        <w:t>Privacy and PII controls</w:t>
      </w:r>
      <w:bookmarkEnd w:id="28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1" w:name="data-extraction-controls"/>
      <w:pPr>
        <w:pStyle w:val="Heading6"/>
      </w:pPr>
      <w:r>
        <w:t>Data extraction controls</w:t>
      </w:r>
      <w:bookmarkEnd w:id="28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2" w:name="rag-and-retrieval-controls"/>
      <w:pPr>
        <w:pStyle w:val="Heading6"/>
      </w:pPr>
      <w:r>
        <w:t>RAG and retrieval controls</w:t>
      </w:r>
      <w:bookmarkEnd w:id="28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3" w:name="document-training-controls"/>
      <w:pPr>
        <w:pStyle w:val="Heading6"/>
      </w:pPr>
      <w:r>
        <w:t>Document training controls</w:t>
      </w:r>
      <w:bookmarkEnd w:id="28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4" w:name="minimal-and-full-governance-profiles"/>
      <w:pPr>
        <w:pStyle w:val="Heading6"/>
      </w:pPr>
      <w:r>
        <w:t>Minimal and full governance profiles</w:t>
      </w:r>
      <w:bookmarkEnd w:id="28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5" w:name="example"/>
      <w:pPr>
        <w:pStyle w:val="Heading6"/>
      </w:pPr>
      <w:r>
        <w:t>Example</w:t>
      </w:r>
      <w:bookmarkEnd w:id="28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86" w:name="consolidated-example-(pii-+-extraction-+-rag-+-training)"/>
      <w:pPr>
        <w:pStyle w:val="Heading6"/>
      </w:pPr>
      <w:r>
        <w:t>Consolidated example (PII + extraction + RAG + training)</w:t>
      </w:r>
      <w:bookmarkEnd w:id="28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87" w:name="component-level-metadata"/>
      <w:pPr>
        <w:pStyle w:val="Heading4"/>
      </w:pPr>
      <w:r>
        <w:t>Component-level metadata</w:t>
      </w:r>
      <w:bookmarkEnd w:id="287"/>
    </w:p>
    <w:p>
      <w:bookmarkStart w:id="288" w:name="appendix-c:-validation-rules"/>
      <w:pPr>
        <w:pStyle w:val="Heading2"/>
      </w:pPr>
      <w:r>
        <w:t>Appendix C: Validation Rules</w:t>
      </w:r>
      <w:bookmarkEnd w:id="288"/>
    </w:p>
    <w:p>
      <w:bookmarkStart w:id="289" w:name="required-structure-validation"/>
      <w:pPr>
        <w:pStyle w:val="Heading3"/>
      </w:pPr>
      <w:r>
        <w:t>Required Structure Validation</w:t>
      </w:r>
      <w:bookmarkEnd w:id="2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0" w:name="geometric-validation"/>
      <w:pPr>
        <w:pStyle w:val="Heading3"/>
      </w:pPr>
      <w:r>
        <w:t>Geometric Validation</w:t>
      </w:r>
      <w:bookmarkEnd w:id="2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1" w:name="temporal-validation"/>
      <w:pPr>
        <w:pStyle w:val="Heading3"/>
      </w:pPr>
      <w:r>
        <w:t>Temporal Validation</w:t>
      </w:r>
      <w:bookmarkEnd w:id="2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2" w:name="content-validation"/>
      <w:pPr>
        <w:pStyle w:val="Heading3"/>
      </w:pPr>
      <w:r>
        <w:t>Content Validation</w:t>
      </w:r>
      <w:bookmarkEnd w:id="2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