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DocLang: Universal AI Document Format</w:t>
      </w:r>
    </w:p>
    <w:p>
      <w:pPr>
        <w:pStyle w:val="Heading2"/>
      </w:pPr>
      <w:r>
        <w:t>Introduction and Overview</w:t>
      </w:r>
    </w:p>
    <w:p>
      <w:pPr>
        <w:pStyle w:val="Heading3"/>
      </w:pPr>
      <w:r>
        <w:t>Foreword</w:t>
      </w:r>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pPr>
        <w:pStyle w:val="Heading3"/>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3"/>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3"/>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Language Design Principles</w:t>
      </w:r>
    </w:p>
    <w:p>
      <w:pPr>
        <w:pStyle w:val="Heading3"/>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3"/>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3"/>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3"/>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3"/>
      </w:pPr>
      <w:r>
        <w:t>Version Management and Compatibility</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pPr>
        <w:pStyle w:val="Heading4"/>
      </w:pPr>
      <w:r>
        <w:t>Semantic Versioning Principles</w:t>
      </w:r>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2"/>
      </w:pPr>
      <w:r>
        <w:t>Language Specification</w:t>
      </w:r>
    </w:p>
    <w:p>
      <w:r>
        <w:t xml:space="preserve">The individual DocLang elements and attributes, as well as DocLang's contextual rules are specified in </w:t>
      </w:r>
      <w:r>
        <w:t>Appendix A: Reference</w:t>
      </w:r>
      <w:r>
        <w:t>.</w:t>
      </w:r>
    </w:p>
    <w:p>
      <w:r>
        <w:t xml:space="preserve">Metadata elements and attributes are further discussed in </w:t>
      </w:r>
      <w:r>
        <w:t>Appendix B: Metadata</w:t>
      </w:r>
      <w:r>
        <w:t>.</w:t>
      </w:r>
    </w:p>
    <w:p>
      <w:r>
        <w:t xml:space="preserve">Special validation rules are covered in </w:t>
      </w:r>
      <w:r>
        <w:t>Appendix C: Validation Rules</w:t>
      </w:r>
      <w:r>
        <w:t>.</w:t>
      </w:r>
    </w:p>
    <w:p>
      <w:pPr>
        <w:pStyle w:val="Heading2"/>
      </w:pPr>
      <w:r>
        <w:t>Usage 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Lists</w:t>
      </w:r>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Tables</w:t>
      </w:r>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7"/>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&lt;text&gt;</w:t>
        <w:br/>
        <w:t xml:space="preserve">  &lt;location value="10"/&gt;&lt;location value="20"/&gt;</w:t>
        <w:br/>
        <w:t xml:space="preserve">  &lt;location value="30"/&gt;&lt;location value="40"/&gt;</w:t>
        <w:br/>
        <w:t xml:space="preserve">  &lt;thread thread_id="1"/&gt;</w:t>
        <w:br/>
        <w:t/>
        <w:br/>
        <w:t xml:space="preserve">  where τ&lt;subscript&gt;x,y,z&lt;/subscript&gt; are the Pauli matrices acting</w:t>
        <w:br/>
        <w:t xml:space="preserve">  on Nambu space. We consider a circular-shaped boundary, the nor-</w:t>
        <w:br/>
        <w:t>&lt;/text&gt;</w:t>
        <w:br/>
        <w:t/>
        <w:br/>
        <w:t>&lt;caption&gt;</w:t>
        <w:br/>
        <w:t xml:space="preserve">  &lt;location value="50"/&gt;&lt;location value="60"/&gt;</w:t>
        <w:br/>
        <w:t xml:space="preserve">  &lt;location value="70"/&gt;&lt;location value="80"/&gt;</w:t>
        <w:br/>
        <w:t/>
        <w:br/>
        <w:t xml:space="preserve">  FIG. 3. The modules of the inner product of two MES spinors</w:t>
        <w:br/>
        <w:t xml:space="preserve">  &lt;formula&gt;...&lt;formula/&gt;</w:t>
        <w:br/>
        <w:t xml:space="preserve">  ...</w:t>
        <w:br/>
        <w:t>&lt;/caption&gt;</w:t>
        <w:br/>
        <w:t/>
        <w:br/>
        <w:t>&lt;text&gt;</w:t>
        <w:br/>
        <w:t xml:space="preserve">  &lt;location value="90"/&gt;&lt;location value="100"/&gt;</w:t>
        <w:br/>
        <w:t xml:space="preserve">  &lt;location value="110"/&gt;&lt;location value="120"/&gt;</w:t>
        <w:br/>
        <w:t xml:space="preserve">  &lt;thread thread_id="1"/&gt;</w:t>
        <w:br/>
        <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 xml:space="preserve">The document root element. Starts with an optional </w:t>
      </w:r>
      <w:r>
        <w:rPr>
          <w:rFonts w:ascii="Consolas" w:hAnsi="Consolas"/>
          <w:shd w:val="clear" w:color="auto" w:fill="F2F2F2"/>
        </w:rPr>
        <w:t>&lt;head&gt;</w:t>
      </w:r>
      <w:r>
        <w:t xml:space="preserve">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5"/>
      </w:pPr>
      <w:r>
        <w:t>Example</w:t>
      </w:r>
    </w:p>
    <w:p>
      <w:pPr>
        <w:shd w:val="clear" w:color="auto" w:fill="F2F2F2"/>
      </w:pPr>
      <w:r>
        <w:rPr>
          <w:rFonts w:ascii="Consolas" w:hAnsi="Consolas"/>
          <w:sz w:val="18"/>
        </w:rPr>
        <w:t>&lt;doclang&gt;</w:t>
        <w:br/>
        <w:t xml:space="preserve">  &lt;!-- content --&gt;</w:t>
        <w:br/>
        <w:t>&lt;/doclang&gt;</w:t>
      </w:r>
    </w:p>
    <w:p>
      <w:pPr>
        <w:pStyle w:val="Heading4"/>
      </w:pPr>
      <w:r>
        <w:t>&lt;head&gt;</w:t>
      </w:r>
    </w:p>
    <w:p>
      <w:r>
        <w:t>Includes doc-level metadata. Also discussed in Appendix B.</w:t>
      </w:r>
    </w:p>
    <w:p>
      <w:pPr>
        <w:pStyle w:val="Heading5"/>
      </w:pPr>
      <w:r>
        <w:t>Allowed Context</w:t>
      </w:r>
    </w:p>
    <w:p>
      <w:r>
        <w:t xml:space="preserve">Can only be first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r>
        <w:t>document body</w:t>
      </w:r>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 xml:space="preserve">Can only be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r>
        <w:t>component head</w:t>
      </w:r>
      <w:r>
        <w:t>. Semantic elements are generally meant to be interpreted as block-level elements (although they can also be inlined via nesting).</w:t>
      </w:r>
    </w:p>
    <w:p>
      <w:pPr>
        <w:pStyle w:val="Heading4"/>
      </w:pPr>
      <w:r>
        <w:t>&lt;text&gt;</w:t>
      </w:r>
    </w:p>
    <w:p>
      <w:r>
        <w:t xml:space="preserve">Represents a piece of cohesive text as that would appear in a paragraph. Note: a special construct related to this element is the so-called "virtual </w:t>
      </w:r>
      <w:r>
        <w:rPr>
          <w:rFonts w:ascii="Consolas" w:hAnsi="Consolas"/>
          <w:shd w:val="clear" w:color="auto" w:fill="F2F2F2"/>
        </w:rPr>
        <w:t>&lt;text&gt;</w:t>
      </w:r>
      <w:r>
        <w:t xml:space="preserve">", which can occur only as a list item or a table cell — see </w:t>
      </w:r>
      <w:r>
        <w:rPr>
          <w:rFonts w:ascii="Consolas" w:hAnsi="Consolas"/>
          <w:shd w:val="clear" w:color="auto" w:fill="F2F2F2"/>
        </w:rPr>
        <w:t>&lt;list&gt;</w:t>
      </w:r>
      <w:r>
        <w:t xml:space="preserve"> and </w:t>
      </w:r>
      <w:r>
        <w:rPr>
          <w:rFonts w:ascii="Consolas" w:hAnsi="Consolas"/>
          <w:shd w:val="clear" w:color="auto" w:fill="F2F2F2"/>
        </w:rPr>
        <w:t>&lt;table&gt;</w:t>
      </w:r>
      <w:r>
        <w:t xml:space="preserve"> below for details.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&lt;list&gt;</w:t>
      </w:r>
    </w:p>
    <w:p>
      <w:r>
        <w:t xml:space="preserve">Captures a list. List items are delimited by the respective structural elements. A list item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&lt;table&gt;</w:t>
      </w:r>
    </w:p>
    <w:p>
      <w:r>
        <w:t xml:space="preserve">Captures a table, in a format inspired by OTSL. Table cells are delimited by the respective structural elements. A table cell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&lt;field_heading&gt;</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&lt;field_item&gt;</w:t>
      </w:r>
    </w:p>
    <w:p>
      <w:r>
        <w:t>Scoping of a field key (optional) and any corresponding values.</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&lt;key&gt;</w:t>
      </w:r>
    </w:p>
    <w:p>
      <w:r>
        <w:t>The key of a field (may correspond to  0-N field values).</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&lt;value&gt;</w:t>
      </w:r>
    </w:p>
    <w:p>
      <w:r>
        <w:t>A value of a field (may correspond to 0 or 1 field key).</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&lt;hint&gt;</w:t>
      </w:r>
    </w:p>
    <w:p>
      <w:r>
        <w:t>A hint regarding a field.</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3"/>
      </w:pPr>
      <w:r>
        <w:t>Component Head Elements</w:t>
      </w:r>
    </w:p>
    <w:p>
      <w:r>
        <w:t>The component head is a sequence comprising the following elements in this order, whereby all elements are optional:</w:t>
      </w:r>
      <w:r>
        <w:br/>
      </w:r>
    </w:p>
    <w:p>
      <w:pPr>
        <w:pStyle w:val="ListBullet"/>
      </w:pPr>
      <w:r>
        <w:rPr>
          <w:rFonts w:ascii="Consolas" w:hAnsi="Consolas"/>
          <w:shd w:val="clear" w:color="auto" w:fill="F2F2F2"/>
        </w:rPr>
        <w:t>&lt;thread&gt;</w:t>
      </w:r>
    </w:p>
    <w:p>
      <w:pPr>
        <w:pStyle w:val="ListBullet"/>
      </w:pPr>
      <w:r>
        <w:rPr>
          <w:rFonts w:ascii="Consolas" w:hAnsi="Consolas"/>
          <w:shd w:val="clear" w:color="auto" w:fill="F2F2F2"/>
        </w:rPr>
        <w:t>&lt;h_thread&gt;</w:t>
      </w:r>
    </w:p>
    <w:p>
      <w:pPr>
        <w:pStyle w:val="ListBullet"/>
      </w:pPr>
      <w:r>
        <w:rPr>
          <w:rFonts w:ascii="Consolas" w:hAnsi="Consolas"/>
          <w:shd w:val="clear" w:color="auto" w:fill="F2F2F2"/>
        </w:rPr>
        <w:t>&lt;meta&gt;</w:t>
      </w:r>
    </w:p>
    <w:p>
      <w:pPr>
        <w:pStyle w:val="ListBullet"/>
      </w:pPr>
      <w:r>
        <w:t xml:space="preserve">sequence of 2*N </w:t>
      </w:r>
      <w:r>
        <w:rPr>
          <w:rFonts w:ascii="Consolas" w:hAnsi="Consolas"/>
          <w:shd w:val="clear" w:color="auto" w:fill="F2F2F2"/>
        </w:rPr>
        <w:t>&lt;location&gt;</w:t>
      </w:r>
      <w:r>
        <w:t>s (N&gt;1)</w:t>
      </w:r>
    </w:p>
    <w:p>
      <w:pPr>
        <w:pStyle w:val="ListBullet"/>
      </w:pPr>
      <w:r>
        <w:t xml:space="preserve">sequence of </w:t>
      </w:r>
      <w:r>
        <w:rPr>
          <w:rFonts w:ascii="Consolas" w:hAnsi="Consolas"/>
          <w:shd w:val="clear" w:color="auto" w:fill="F2F2F2"/>
        </w:rPr>
        <w:t>&lt;timestamp&gt;</w:t>
      </w:r>
      <w:r>
        <w:t>s</w:t>
      </w:r>
    </w:p>
    <w:p>
      <w:pPr>
        <w:pStyle w:val="ListBullet"/>
      </w:pPr>
      <w:r>
        <w:rPr>
          <w:rFonts w:ascii="Consolas" w:hAnsi="Consolas"/>
          <w:shd w:val="clear" w:color="auto" w:fill="F2F2F2"/>
        </w:rPr>
        <w:t>&lt;layer&gt;</w:t>
      </w:r>
    </w:p>
    <w:p>
      <w:r>
        <w:t>A component head can only appear as the leading content of a semantic element.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w:t>
      </w:r>
      <w:r>
        <w:br/>
      </w:r>
      <w:r>
        <w:t xml:space="preserve">To capture such a component, we define separate instances of the respective element and use a </w:t>
      </w:r>
      <w:r>
        <w:rPr>
          <w:rFonts w:ascii="Consolas" w:hAnsi="Consolas"/>
          <w:shd w:val="clear" w:color="auto" w:fill="F2F2F2"/>
        </w:rPr>
        <w:t>&lt;thread&gt;</w:t>
      </w:r>
      <w:r>
        <w:t xml:space="preserve">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r>
              <w:rPr>
                <w:rFonts w:ascii="Consolas" w:hAnsi="Consolas"/>
                <w:shd w:val="clear" w:color="auto" w:fill="F2F2F2"/>
              </w:rPr>
              <w:t>&lt;default_resolution&gt;</w:t>
            </w:r>
            <w:r>
              <w:t>,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 xml:space="preserve">Can only be child of </w:t>
      </w:r>
      <w:r>
        <w:rPr>
          <w:rFonts w:ascii="Consolas" w:hAnsi="Consolas"/>
          <w:shd w:val="clear" w:color="auto" w:fill="F2F2F2"/>
        </w:rPr>
        <w:t>&lt;meta&gt;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 xml:space="preserve">Can only be child of </w:t>
      </w:r>
      <w:r>
        <w:rPr>
          <w:rFonts w:ascii="Consolas" w:hAnsi="Consolas"/>
          <w:shd w:val="clear" w:color="auto" w:fill="F2F2F2"/>
        </w:rPr>
        <w:t>&lt;picture&gt;</w:t>
      </w:r>
      <w:r>
        <w:t xml:space="preserve"> or first child of </w:t>
      </w:r>
      <w:r>
        <w:rPr>
          <w:rFonts w:ascii="Consolas" w:hAnsi="Consolas"/>
          <w:shd w:val="clear" w:color="auto" w:fill="F2F2F2"/>
        </w:rPr>
        <w:t>&lt;hyperlink&gt;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&lt;hyperlink&gt;</w:t>
      </w:r>
    </w:p>
    <w:p>
      <w:r>
        <w:t xml:space="preserve">Contains a </w:t>
      </w:r>
      <w:r>
        <w:rPr>
          <w:rFonts w:ascii="Consolas" w:hAnsi="Consolas"/>
          <w:shd w:val="clear" w:color="auto" w:fill="F2F2F2"/>
        </w:rPr>
        <w:t>&lt;uri&gt;</w:t>
      </w:r>
      <w:r>
        <w:t xml:space="preserve">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Structural Elements</w:t>
      </w:r>
    </w:p>
    <w:p>
      <w:r>
        <w:t>Structural elements define boundaries within explicitly structured components like tables and lists.</w:t>
      </w:r>
    </w:p>
    <w:p>
      <w:pPr>
        <w:pStyle w:val="Heading4"/>
      </w:pPr>
      <w:r>
        <w:t>&lt;fcel&gt;</w:t>
      </w:r>
    </w:p>
    <w:p>
      <w:r>
        <w:t>Indicates the beginning of a full / regular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&lt;ecel&gt;</w:t>
      </w:r>
    </w:p>
    <w:p>
      <w:r>
        <w:t>Indicates the beginning of an empty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&lt;ched&gt;</w:t>
      </w:r>
    </w:p>
    <w:p>
      <w:r>
        <w:t>Indicates the beginning of a column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&lt;rhed&gt;</w:t>
      </w:r>
    </w:p>
    <w:p>
      <w:r>
        <w:t>Indicates the beginning of a row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&lt;corn&gt;</w:t>
      </w:r>
    </w:p>
    <w:p>
      <w:r>
        <w:t>Indicates the beginning of a corner cell, typically the top-left header intersection.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&lt;srow&gt;</w:t>
      </w:r>
    </w:p>
    <w:p>
      <w:r>
        <w:t>Indicates the beginning of a section row header.</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&lt;lcel&gt;</w:t>
      </w:r>
    </w:p>
    <w:p>
      <w:r>
        <w:t>Left-merge extension token; extends the previous cell horizontally (colspan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&lt;ucel&gt;</w:t>
      </w:r>
    </w:p>
    <w:p>
      <w:r>
        <w:t>Upward-merge extension token; extends the cell above vertically (rowspan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&lt;xcel&gt;</w:t>
      </w:r>
    </w:p>
    <w:p>
      <w:r>
        <w:t>Cross/combined span extension token; used where both horizontal and vertical spanning intersect.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&lt;nl&gt;</w:t>
      </w:r>
    </w:p>
    <w:p>
      <w:r>
        <w:t>New line / new table row</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&lt;ldiv&gt;</w:t>
      </w:r>
    </w:p>
    <w:p>
      <w:r>
        <w:t xml:space="preserve">Indicates the beginning of a list item. It can either be empty or contain a </w:t>
      </w:r>
      <w:r>
        <w:rPr>
          <w:rFonts w:ascii="Consolas" w:hAnsi="Consolas"/>
          <w:shd w:val="clear" w:color="auto" w:fill="F2F2F2"/>
        </w:rPr>
        <w:t>&lt;marker&gt;</w:t>
      </w:r>
      <w:r>
        <w:t>.</w:t>
      </w:r>
    </w:p>
    <w:p>
      <w:pPr>
        <w:pStyle w:val="Heading5"/>
      </w:pPr>
      <w:r>
        <w:t>Allowed Context</w:t>
      </w:r>
    </w:p>
    <w:p>
      <w:r>
        <w:t xml:space="preserve">Can only be child of </w:t>
      </w:r>
      <w:r>
        <w:rPr>
          <w:rFonts w:ascii="Consolas" w:hAnsi="Consolas"/>
          <w:shd w:val="clear" w:color="auto" w:fill="F2F2F2"/>
        </w:rPr>
        <w:t>&lt;list&gt;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 xml:space="preserve">Only </w:t>
            </w:r>
            <w:r>
              <w:rPr>
                <w:rFonts w:ascii="Consolas" w:hAnsi="Consolas"/>
                <w:shd w:val="clear" w:color="auto" w:fill="F2F2F2"/>
              </w:rPr>
              <w:t>&lt;marker&gt;</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2"/>
      </w:pPr>
      <w:r>
        <w:t>Appendix B: Metadata</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3"/>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4"/>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5"/>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5"/>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5"/>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5"/>
      </w:pPr>
      <w:r>
        <w:t>Governance overview</w:t>
      </w:r>
    </w:p>
    <w:p>
      <w:r>
        <w:t>Governance metadata is intended to be machine-actionable: it should enable downstream systems (including AI systems) to determine what is permitted, under what constraints, and with what obligations.</w:t>
      </w:r>
    </w:p>
    <w:p>
      <w:pPr>
        <w:pStyle w:val="Heading5"/>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5"/>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5"/>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5"/>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5"/>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5"/>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5"/>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5"/>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5"/>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5"/>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5"/>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5"/>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5"/>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5"/>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Appendix C: Validation Rules</w:t>
      </w:r>
    </w:p>
    <w:p>
      <w:pPr>
        <w:pStyle w:val="Heading3"/>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3"/>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3"/>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3"/>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