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ISO XXX - DocLang: Universal Document Markup Format (Revised)</w:t>
      </w:r>
    </w:p>
    <w:p>
      <w:pPr>
        <w:pStyle w:val="Heading2"/>
      </w:pPr>
      <w:r>
        <w:t>Foreword</w:t>
      </w:r>
    </w:p>
    <w:p>
      <w:r>
        <w:t>This document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International Standard specifies the DocLang format, a universal markup language for representing structured document content with semantic, geometric, and formatting information.</w:t>
      </w:r>
    </w:p>
    <w:p>
      <w:pPr>
        <w:pStyle w:val="Heading2"/>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2"/>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2"/>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2"/>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2"/>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2"/>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2"/>
      </w:pPr>
      <w:r>
        <w:t>DocLang Structure</w:t>
      </w:r>
    </w:p>
    <w:p>
      <w:r>
        <w:t>DocLang is a constrained subset of XML with the following characteristics:</w:t>
      </w:r>
    </w:p>
    <w:p>
      <w:pPr>
        <w:pStyle w:val="ListBullet"/>
        <w:ind w:left="360" w:hanging="360"/>
      </w:pPr>
      <w:r>
        <w:t>Simplified syntax with a finite set of allowed tags</w:t>
      </w:r>
    </w:p>
    <w:p>
      <w:pPr>
        <w:pStyle w:val="ListBullet"/>
        <w:ind w:left="360" w:hanging="360"/>
      </w:pPr>
      <w:r>
        <w:t>Constrained use of attributes on most elements</w:t>
      </w:r>
    </w:p>
    <w:p>
      <w:pPr>
        <w:pStyle w:val="ListBullet"/>
        <w:ind w:left="360" w:hanging="360"/>
      </w:pPr>
      <w:r>
        <w:t>Character-based encoding using legal Unicode characters (except Null)</w:t>
      </w:r>
    </w:p>
    <w:p>
      <w:pPr>
        <w:pStyle w:val="ListBullet"/>
        <w:ind w:left="360" w:hanging="360"/>
      </w:pPr>
      <w:r>
        <w:t>Standard XML parsing rules apply for markup vs content distinction</w:t>
      </w:r>
    </w:p>
    <w:p>
      <w:r>
        <w:t xml:space="preserve">The individual DocLang elements are specified in the </w:t>
      </w:r>
      <w:hyperlink r:id="rId14">
        <w:r>
          <w:rPr>
            <w:rStyle w:val="Hyperlink"/>
          </w:rPr>
          <w:t>reference</w:t>
        </w:r>
      </w:hyperlink>
      <w:r>
        <w:t>.</w:t>
      </w:r>
    </w:p>
    <w:p>
      <w:pPr>
        <w:pStyle w:val="Heading3"/>
      </w:pPr>
      <w:r>
        <w:t>Metadata Elements</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4"/>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1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5"/>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6"/>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6"/>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6"/>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6"/>
      </w:pPr>
      <w:r>
        <w:t>Governance overview</w:t>
      </w:r>
    </w:p>
    <w:p>
      <w:r>
        <w:t>Governance metadata is intended to be machine-actionable: it should enable downstream systems (including AI systems) to determine what is permitted, under what constraints, and with what obligations.</w:t>
      </w:r>
    </w:p>
    <w:p>
      <w:pPr>
        <w:pStyle w:val="Heading6"/>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6"/>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6"/>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6"/>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6"/>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6"/>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6"/>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6"/>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6"/>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6"/>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6"/>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6"/>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6"/>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6"/>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 version="1.0.0"&gt;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 version="1.0.0"&gt;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DocLang separates the table’s structure from its surrounding semantics:</w:t>
      </w:r>
    </w:p>
    <w:p>
      <w:pPr>
        <w:pStyle w:val="ListBullet"/>
        <w:ind w:left="360" w:hanging="360"/>
      </w:pPr>
      <w:r>
        <w:rPr>
          <w:rFonts w:ascii="Consolas" w:hAnsi="Consolas"/>
          <w:shd w:val="clear" w:color="auto" w:fill="F2F2F2"/>
        </w:rPr>
        <w:t>group</w:t>
      </w:r>
      <w:r>
        <w:t xml:space="preserve">: Semantic container that may include </w:t>
      </w:r>
      <w:r>
        <w:rPr>
          <w:rFonts w:ascii="Consolas" w:hAnsi="Consolas"/>
          <w:shd w:val="clear" w:color="auto" w:fill="F2F2F2"/>
        </w:rPr>
        <w:t>caption</w:t>
      </w:r>
      <w:r>
        <w:t xml:space="preserve">, multiple </w:t>
      </w:r>
      <w:r>
        <w:rPr>
          <w:rFonts w:ascii="Consolas" w:hAnsi="Consolas"/>
          <w:shd w:val="clear" w:color="auto" w:fill="F2F2F2"/>
        </w:rPr>
        <w:t>footnote</w:t>
      </w:r>
      <w:r>
        <w:t xml:space="preserve"> elements, and exactly one </w:t>
      </w:r>
      <w:r>
        <w:rPr>
          <w:rFonts w:ascii="Consolas" w:hAnsi="Consolas"/>
          <w:shd w:val="clear" w:color="auto" w:fill="F2F2F2"/>
        </w:rPr>
        <w:t>table</w:t>
      </w:r>
      <w:r>
        <w:t xml:space="preserve"> child for the structure. Do not put coordinates on the </w:t>
      </w:r>
      <w:r>
        <w:rPr>
          <w:rFonts w:ascii="Consolas" w:hAnsi="Consolas"/>
          <w:shd w:val="clear" w:color="auto" w:fill="F2F2F2"/>
        </w:rPr>
        <w:t>group</w:t>
      </w:r>
      <w:r>
        <w:t>.</w:t>
      </w:r>
    </w:p>
    <w:p>
      <w:pPr>
        <w:pStyle w:val="ListBullet"/>
        <w:ind w:left="360" w:hanging="360"/>
      </w:pPr>
      <w:r>
        <w:rPr>
          <w:rFonts w:ascii="Consolas" w:hAnsi="Consolas"/>
          <w:shd w:val="clear" w:color="auto" w:fill="F2F2F2"/>
        </w:rPr>
        <w:t>table</w:t>
      </w:r>
      <w:r>
        <w:t xml:space="preserve">: The structural table token sequence. Put the table region’s coordinates on </w:t>
      </w:r>
      <w:r>
        <w:rPr>
          <w:rFonts w:ascii="Consolas" w:hAnsi="Consolas"/>
          <w:shd w:val="clear" w:color="auto" w:fill="F2F2F2"/>
        </w:rPr>
        <w:t>table</w:t>
      </w:r>
      <w:r>
        <w:t xml:space="preserve"> for each page fragment. Cells are created by structural tokens (e.g., </w:t>
      </w:r>
      <w:r>
        <w:rPr>
          <w:rFonts w:ascii="Consolas" w:hAnsi="Consolas"/>
          <w:shd w:val="clear" w:color="auto" w:fill="F2F2F2"/>
        </w:rPr>
        <w:t>&lt;fcel/&gt;</w:t>
      </w:r>
      <w:r>
        <w:t xml:space="preserve">, </w:t>
      </w:r>
      <w:r>
        <w:rPr>
          <w:rFonts w:ascii="Consolas" w:hAnsi="Consolas"/>
          <w:shd w:val="clear" w:color="auto" w:fill="F2F2F2"/>
        </w:rPr>
        <w:t>&lt;ched/&gt;</w:t>
      </w:r>
      <w:r>
        <w:t>) and their content follows immediately after each cell token.</w:t>
      </w:r>
    </w:p>
    <w:p>
      <w:r>
        <w:t>Basic example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&lt;ched/&gt;Method&lt;ched/&gt;Accuracy&lt;nl/&gt;</w:t>
        <w:br/>
        <w:t xml:space="preserve">    &lt;fcel/&gt;Baseline&lt;fcel/&gt;0.85&lt;nl/&gt;</w:t>
        <w:br/>
        <w:t xml:space="preserve">    &lt;fcel/&gt;Proposed&lt;fcel/&gt;0.92&lt;nl/&gt;</w:t>
        <w:br/>
        <w:t xml:space="preserve">  &lt;/table&gt;</w:t>
        <w:br/>
        <w:t xml:space="preserve">  &lt;footnote&gt;Accuracy reported on validation set.&lt;/footnote&gt;</w:t>
        <w:br/>
        <w:t>&lt;/group&gt;</w:t>
      </w:r>
    </w:p>
    <w:p>
      <w:r>
        <w:t>Examples:</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&lt;ched/&gt;Description&lt;ched/&gt;Details&lt;nl/&gt;</w:t>
        <w:br/>
        <w:t xml:space="preserve">    &lt;fcel/&gt;</w:t>
        <w:br/>
        <w:t xml:space="preserve">    &lt;text&gt;Pipeline steps&lt;/text&gt;</w:t>
        <w:br/>
        <w:t xml:space="preserve">    &lt;fcel/&gt;</w:t>
        <w:br/>
        <w:t xml:space="preserve">    &lt;list class="unordered"&gt;</w:t>
        <w:br/>
        <w:t xml:space="preserve">      &lt;ld&gt;&lt;marker&gt;•&lt;/marker&gt;&lt;/ld&gt;</w:t>
        <w:br/>
        <w:t xml:space="preserve">      &lt;text&gt;Ingest&lt;/text&gt;</w:t>
        <w:br/>
        <w:t xml:space="preserve">      &lt;ld&gt;&lt;marker&gt;•&lt;/marker&gt;&lt;/ld&gt;</w:t>
        <w:br/>
        <w:t xml:space="preserve">      &lt;text&gt;Process&lt;/text&gt;</w:t>
        <w:br/>
        <w:t xml:space="preserve">      &lt;ld&gt;&lt;marker&gt;•&lt;/marker&gt;&lt;/ld&gt;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&lt;ld&gt;&lt;marker&gt;•&lt;/marker&gt;&lt;/ld&gt;</w:t>
        <w:br/>
        <w:t xml:space="preserve">  &lt;text&gt;First item with &lt;bold&gt;bold&lt;/bold&gt; text&lt;/text&gt;</w:t>
        <w:br/>
        <w:t xml:space="preserve">  &lt;ld&gt;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&lt;ld&gt;&lt;marker&gt;1.&lt;/marker&gt;&lt;/ld&gt;</w:t>
        <w:br/>
        <w:t xml:space="preserve">  &lt;text&gt;Install dependencies&lt;/text&gt;</w:t>
        <w:br/>
        <w:t xml:space="preserve">  &lt;ld&gt;&lt;marker&gt;2.&lt;/marker&gt;&lt;/ld&gt;</w:t>
        <w:br/>
        <w:t xml:space="preserve">  &lt;text&gt;Run tests&lt;/text&gt;</w:t>
        <w:br/>
        <w:t xml:space="preserve">  &lt;ld/&gt;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&lt;ld&gt;&lt;marker&gt;&lt;checkbox class="selected"/&gt;&lt;/marker&gt;&lt;/ld&gt;</w:t>
        <w:br/>
        <w:t xml:space="preserve">  &lt;text&gt;Completed task&lt;/text&gt;</w:t>
        <w:br/>
        <w:t xml:space="preserve">  &lt;ld&gt;&lt;marker&gt;&lt;checkbox class="unselected"/&gt;&lt;/marker&gt;&lt;/ld&gt;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&lt;ld&gt;&lt;marker&gt;1.&lt;/marker&gt;&lt;/ld&gt;</w:t>
        <w:br/>
        <w:t xml:space="preserve">  &lt;text&gt;Setup project&lt;/text&gt;</w:t>
        <w:br/>
        <w:t xml:space="preserve">  &lt;list class="unordered"&gt;</w:t>
        <w:br/>
        <w:t xml:space="preserve">    &lt;ld&gt;&lt;marker&gt;•&lt;/marker&gt;&lt;/ld&gt;</w:t>
        <w:br/>
        <w:t xml:space="preserve">    &lt;text&gt;Create virtual environment&lt;/text&gt;</w:t>
        <w:br/>
        <w:t xml:space="preserve">    &lt;ld&gt;&lt;marker&gt;•&lt;/marker&gt;&lt;/ld&gt;</w:t>
        <w:br/>
        <w:t xml:space="preserve">    &lt;text&gt;Configure linter&lt;/text&gt;</w:t>
        <w:br/>
        <w:t xml:space="preserve">  &lt;/list&gt;</w:t>
        <w:br/>
        <w:t xml:space="preserve">  &lt;ld&gt;&lt;marker&gt;2.&lt;/marker&gt;&lt;/ld&gt;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&lt;ld&gt;&lt;marker&gt;1.&lt;/marker&gt;&lt;/ld&gt;</w:t>
        <w:br/>
        <w:t xml:space="preserve">  &lt;text&gt;First item&lt;/text&gt;</w:t>
        <w:br/>
        <w:t xml:space="preserve">  &lt;ld&gt;&lt;marker&gt;2.&lt;/marker&gt;&lt;/ld&gt;</w:t>
        <w:br/>
        <w:t xml:space="preserve">  &lt;text&gt;Second item&lt;/text&gt;</w:t>
        <w:br/>
        <w:t>&lt;/list&gt;</w:t>
        <w:br/>
        <w:t>&lt;page_break/&gt;</w:t>
        <w:br/>
        <w:t>&lt;list class="ordered"&gt;</w:t>
        <w:br/>
        <w:t xml:space="preserve">  &lt;thread thread_id="L1"/&gt;</w:t>
        <w:br/>
        <w:t xml:space="preserve">  &lt;ld&gt;&lt;marker&gt;3.&lt;/marker&gt;&lt;/ld&gt;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&lt;ld&gt;&lt;marker&gt;•&lt;/marker&gt;&lt;/ld&gt;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6"/>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7"/>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8"/>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9"/>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20"/>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1"/>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&lt;ched/&gt;IP Address&lt;ched/&gt;Port&lt;ched/&gt;Service&lt;ched/&gt;Version&lt;nl/&gt;</w:t>
        <w:br/>
        <w:t xml:space="preserve">      &lt;fcell/&gt;10.0.0.101&lt;fcell/&gt;80/tcp, 8088/tcp&lt;fcell/&gt;Werkzeug&lt;fcell/&gt;3.0.1&lt;nl/&gt;</w:t>
        <w:br/>
        <w:t xml:space="preserve">      &lt;fcell/&gt;10.0.0.102&lt;fcell/&gt;80/tcp, 8088/tcp&lt;fcell/&gt;Werkzeug&lt;fcell/&gt;3.0.1&lt;nl/&gt;</w:t>
        <w:br/>
        <w:t xml:space="preserve">      &lt;fcell/&gt;10.0.0.103&lt;fcell/&gt;80/tcp, 8088/tcp&lt;fcell/&gt;Werkzeug&lt;fcell/&gt;3.0.1&lt;nl/&gt;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2"/>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3"/>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4"/>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5"/>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&lt;table&gt;</w:t>
        <w:br/>
        <w:t xml:space="preserve">  &lt;srow&gt;Beiträge zur Altersvorsorge&lt;srow&gt;52&lt;/lcel&gt;&lt;/srow&gt;&lt;nl&gt;</w:t>
        <w:br/>
        <w:t xml:space="preserve">  &lt;fcel/&gt;&lt;ched/&gt;Steuerpflichtige Person / Ehemann / Person A&lt;ched/&gt;Ehefrau / Person B&lt;fcel/&gt; &lt;nl&gt;</w:t>
        <w:br/>
        <w:t xml:space="preserve">  &lt;fcel/&gt;Arbeitnehmeranteil laut Nr. 23 a / b der Lohnsteuerbescheinigung&lt;fcel/&gt;*FORM1*,-&lt;fcel/&gt;*FORM2*,-&lt;fcel/&gt;@&lt;nl&gt;</w:t>
        <w:br/>
        <w:t xml:space="preserve">  &lt;fcel/&gt;Beiträge zur landwirtschaftlichen Alterskasse; zu berufsständ...&lt;fcel/&gt;*FORM3*,-&lt;fcel/&gt;*FORM4*,-&lt;fcel/&gt; &lt;nl&gt;</w:t>
        <w:br/>
        <w:t xml:space="preserve">  &lt;fcel/&gt;Beiträge zu gesetzlichen Rentenversicherungen...&lt;fcel/&gt;*FORM5*,-&lt;fcel/&gt;*FORM6*,-&lt;fcel/&gt; &lt;nl&gt;</w:t>
        <w:br/>
        <w:t xml:space="preserve">  &lt;fcel/&gt;Erstattete Beiträge und / oder steuerfreie Zuschüsse zu den...&lt;fcel/&gt;*FORM7*,-&lt;fcel/&gt;*FORM8*,-&lt;fcel/&gt;@&lt;nl&gt;</w:t>
        <w:br/>
        <w:t xml:space="preserve">  ...</w:t>
        <w:br/>
        <w:t xml:space="preserve">  &lt;/table&gt;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6"/>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&lt;ched/&gt;If you checked (in Part l):&lt;ched/&gt;Enter&lt;nl&gt;</w:t>
        <w:br/>
        <w:t xml:space="preserve">  &lt;fcel/&gt;Box 1, 2, 4, or 7&lt;fcel/&gt;$5,000&lt;nl&gt;</w:t>
        <w:br/>
        <w:t xml:space="preserve">  &lt;fcel/&gt;Box 3, 5, or 6&lt;fcel/&gt;$7,500&lt;nl&gt;</w:t>
        <w:br/>
        <w:t xml:space="preserve">  &lt;fcel/&gt;Box 8 or 9&lt;fcel/&gt;$3,750&lt;nl&gt;</w:t>
        <w:br/>
        <w:t xml:space="preserve">  &lt;/table&gt;</w:t>
        <w:br/>
        <w:t xml:space="preserve">  &lt;field_item&gt;&lt;key&gt;10&lt;/key&gt;&lt;value&gt;&lt;/value&gt;&lt;/field_item&gt;</w:t>
        <w:br/>
        <w:t xml:space="preserve">  &lt;text&gt;11 If you checked (in Part I):&lt;/text&gt;</w:t>
        <w:br/>
        <w:t xml:space="preserve">  &lt;list class="unordered"&gt;</w:t>
        <w:br/>
        <w:t xml:space="preserve">      &lt;ld/&gt;</w:t>
        <w:br/>
        <w:t xml:space="preserve">      &lt;text&gt;Box 6, add $5,000 to the taxable...&lt;/text&gt;</w:t>
        <w:br/>
        <w:t xml:space="preserve">      &lt;ld/&gt;</w:t>
        <w:br/>
        <w:t xml:space="preserve">      &lt;text&gt;Box 2, 4, or 9, enter your taxable...&lt;/text&gt;</w:t>
        <w:br/>
        <w:t xml:space="preserve">      &lt;ld/&gt;</w:t>
        <w:br/>
        <w:t xml:space="preserve">      &lt;text&gt;BBox 5, add your taxable disabilit...&lt;/text&gt;</w:t>
        <w:br/>
        <w:t xml:space="preserve">  &lt;/list&gt;</w:t>
        <w:br/>
        <w:t xml:space="preserve">  &lt;field_item&gt;&lt;key&gt;11&lt;/key&gt;&lt;value&gt;.&lt;/value&gt;&lt;/field_item&gt;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&lt;field_item&gt;&lt;key&gt;12&lt;/key&gt;&lt;value&gt;74,992&lt;/value&gt;&lt;/field_item&gt;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7"/>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8">
        <w:r>
          <w:rPr>
            <w:rStyle w:val="Hyperlink"/>
          </w:rPr>
          <w:t>Form Examples</w:t>
        </w:r>
      </w:hyperlink>
    </w:p>
    <w:p>
      <w:pPr>
        <w:pStyle w:val="Heading3"/>
      </w:pPr>
      <w:r>
        <w:t>Fields</w:t>
      </w:r>
    </w:p>
    <w:p>
      <w:r>
        <w:t>Fields can be used for representing key-value data in a flexible structure where keys and values may be separated by other content or organized in complex layouts.</w:t>
      </w:r>
    </w:p>
    <w:p>
      <w:pPr>
        <w:pStyle w:val="Heading4"/>
      </w:pPr>
      <w:r>
        <w:t>Field Elements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field_region</w:t>
            </w:r>
          </w:p>
        </w:tc>
        <w:tc>
          <w:tcPr>
            <w:tcW w:type="dxa" w:w="4320"/>
          </w:tcPr>
          <w:p>
            <w:r/>
            <w:r>
              <w:t>Container for a region containing field items and related content</w:t>
            </w:r>
          </w:p>
        </w:tc>
      </w:tr>
      <w:tr>
        <w:tc>
          <w:tcPr>
            <w:tcW w:type="dxa" w:w="4320"/>
          </w:tcPr>
          <w:p>
            <w:r/>
            <w:r>
              <w:rPr>
                <w:rFonts w:ascii="Consolas" w:hAnsi="Consolas"/>
                <w:shd w:val="clear" w:color="auto" w:fill="F2F2F2"/>
              </w:rPr>
              <w:t>field_item</w:t>
            </w:r>
          </w:p>
        </w:tc>
        <w:tc>
          <w:tcPr>
            <w:tcW w:type="dxa" w:w="4320"/>
          </w:tcPr>
          <w:p>
            <w:r/>
            <w:r>
              <w:t xml:space="preserve">Container that associates keys with values;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field_heading</w:t>
            </w:r>
          </w:p>
        </w:tc>
        <w:tc>
          <w:tcPr>
            <w:tcW w:type="dxa" w:w="4320"/>
          </w:tcPr>
          <w:p>
            <w:r/>
            <w:r>
              <w:t>Heading within a field region, with optional level N ≥ 1</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Heading4"/>
      </w:pPr>
      <w:r>
        <w:t>Field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&lt;ld&gt;&lt;marker&gt;•&lt;/marker&gt;&lt;/ld&gt;</w:t>
        <w:br/>
        <w:t xml:space="preserve">      &lt;text&gt;&lt;value&gt;Aluminum alloy frame&lt;/value&gt;&lt;/text&gt;</w:t>
        <w:br/>
        <w:t xml:space="preserve">      &lt;ld&gt;&lt;marker&gt;•&lt;/marker&gt;&lt;/ld&gt;</w:t>
        <w:br/>
        <w:t xml:space="preserve">      &lt;text&gt;&lt;value&gt;Tempered glass display&lt;/value&gt;&lt;/text&gt;</w:t>
        <w:br/>
        <w:t xml:space="preserve">      &lt;ld&gt;&lt;marker&gt;•&lt;/marker&gt;&lt;/ld&gt;</w:t>
        <w:br/>
        <w:t xml:space="preserve">      &lt;text&gt;&lt;value&gt;Silicone rubber grips&lt;/value&gt;&lt;/text&gt;</w:t>
        <w:br/>
        <w:t xml:space="preserve">    &lt;/list&gt;</w:t>
        <w:br/>
        <w:t xml:space="preserve">  &lt;/field_item&gt;</w:t>
        <w:br/>
        <w:t>&lt;/field_region&gt;</w:t>
      </w:r>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9"/>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&lt;loc_10/&gt;&lt;loc_20/&gt;&lt;loc_30/&gt;&lt;loc_40/&gt;</w:t>
        <w:br/>
        <w:t xml:space="preserve">    &lt;thread thread_id="1"/&gt;</w:t>
        <w:br/>
        <w:t xml:space="preserve">    where τ&lt;subscript&gt;x,y,z&lt;/subscript&gt; are the Pauli matrices acting</w:t>
        <w:br/>
        <w:t xml:space="preserve">    on Nambu space. We consider a circular-shaped boundary, the nor-</w:t>
        <w:br/>
        <w:t>&lt;/text&gt;</w:t>
        <w:br/>
        <w:t/>
        <w:br/>
        <w:t>&lt;caption&gt;</w:t>
        <w:br/>
        <w:t xml:space="preserve">    &lt;loc_15/&gt;&lt;loc_25/&gt;&lt;loc_35/&gt;&lt;loc_45/&gt;</w:t>
        <w:br/>
        <w:t xml:space="preserve">    FIG. 3. The modules of the inner product of two MES spinors</w:t>
        <w:br/>
        <w:t xml:space="preserve">    &lt;formula&gt;...&lt;formula/&gt;</w:t>
        <w:br/>
        <w:t xml:space="preserve">    ...</w:t>
        <w:br/>
        <w:t>&lt;/caption&gt;</w:t>
        <w:br/>
        <w:t/>
        <w:br/>
        <w:t>&lt;text&gt;</w:t>
        <w:br/>
        <w:t xml:space="preserve">    &lt;loc_20/&gt;&lt;loc_30/&gt;&lt;loc_40/&gt;&lt;loc_50/&gt;</w:t>
        <w:br/>
        <w:t xml:space="preserve">    &lt;thread thread_id="1"/&gt;</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30"/>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&lt;loc_10/&gt;&lt;loc_20/&gt;&lt;loc_30/&gt;&lt;loc_40/&gt;</w:t>
        <w:br/>
        <w:t xml:space="preserve">    &lt;![CDATA[Our multi-faceted DE&amp;I program includes the following initiatives:]]&gt;</w:t>
        <w:br/>
        <w:t>&lt;/text&gt;</w:t>
        <w:br/>
        <w:t/>
        <w:br/>
        <w:t>&lt;list class="unordered"&gt;</w:t>
        <w:br/>
        <w:t xml:space="preserve">    &lt;thread thread_id="1"/&gt;</w:t>
        <w:br/>
        <w:t xml:space="preserve">    &lt;ld/&gt;</w:t>
        <w:br/>
        <w:t xml:space="preserve">    &lt;text&gt;</w:t>
        <w:br/>
        <w:t xml:space="preserve">        &lt;loc_15/&gt;&lt;loc_25/&gt;&lt;loc_35/&gt;&lt;loc_45/&gt;</w:t>
        <w:br/>
        <w:t xml:space="preserve">        Mentorships and internship programs featuring diverse employees and students</w:t>
        <w:br/>
        <w:t xml:space="preserve">    &lt;/text&gt;</w:t>
        <w:br/>
        <w:t xml:space="preserve">    ...</w:t>
        <w:br/>
        <w:t xml:space="preserve">    &lt;ld/&gt;</w:t>
        <w:br/>
        <w:t xml:space="preserve">    &lt;text&gt;</w:t>
        <w:br/>
        <w:t xml:space="preserve">        &lt;loc_20/&gt;&lt;loc_30/&gt;&lt;loc_40/&gt;&lt;loc_50/&gt;</w:t>
        <w:br/>
        <w:t xml:space="preserve">        Build Science, Technology, Engineering and Mathematics (STEM) employee candidate pipeline via involvement with:</w:t>
        <w:br/>
        <w:t xml:space="preserve">        &lt;list class="unordered"&gt;</w:t>
        <w:br/>
        <w:t xml:space="preserve">            &lt;ld/&gt;</w:t>
        <w:br/>
        <w:t xml:space="preserve">            &lt;text&gt;</w:t>
        <w:br/>
        <w:t xml:space="preserve">                &lt;loc_25/&gt;&lt;loc_35/&gt;&lt;loc_45/&gt;&lt;loc_55/&gt;</w:t>
        <w:br/>
        <w:t xml:space="preserve">                Historically Black Colleges and Universities (HBCUs) site visits and career fairs</w:t>
        <w:br/>
        <w:t xml:space="preserve">            &lt;/text&gt;</w:t>
        <w:br/>
        <w:t xml:space="preserve">            ...</w:t>
        <w:br/>
        <w:t xml:space="preserve">            &lt;ld/&gt;</w:t>
        <w:br/>
        <w:t xml:space="preserve">            &lt;text&gt;</w:t>
        <w:br/>
        <w:t xml:space="preserve">                &lt;loc_30/&gt;&lt;loc_40/&gt;&lt;loc_50/&gt;&lt;loc_60/&gt;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&lt;page_footer&gt;&lt;loc_35/&gt;&lt;loc_45/&gt;&lt;loc_55/&gt;&lt;loc_65/&gt;16 Neurocrine Biosciences&lt;/page_footer&gt;</w:t>
        <w:br/>
        <w:t/>
        <w:br/>
        <w:t>&lt;page_break/&gt;</w:t>
        <w:br/>
        <w:t/>
        <w:br/>
        <w:t>&lt;list class="unordered"&gt;</w:t>
        <w:br/>
        <w:t xml:space="preserve">    &lt;thread thread_id="1"/&gt;</w:t>
        <w:br/>
        <w:t xml:space="preserve">    &lt;ld/&gt;</w:t>
        <w:br/>
        <w:t xml:space="preserve">    &lt;text&gt;</w:t>
        <w:br/>
        <w:t xml:space="preserve">        &lt;loc_40/&gt;&lt;loc_50/&gt;&lt;loc_60/&gt;&lt;loc_70/&gt;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 &lt;br /&gt; &lt;img src="./examples/split_tables/original_table.png" height="900" width="644" /&gt; &lt;/td&gt; &lt;td&gt; Table split across pages: &lt;br /&gt; &lt;img src="./examples/split_tables/split_table.png" height="900" width="644" /&gt; &lt;/td&gt; &lt;td&gt; Table threads: &lt;br /&gt; &lt;img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&lt;table&gt;&lt;loc_x0/&gt;&lt;loc_y0/&gt;&lt;loc_x1/&gt;&lt;loc_y1/&gt;</w:t>
        <w:br/>
        <w:t xml:space="preserve">        &lt;thread thread_id="1"/&gt;</w:t>
        <w:br/>
        <w:t xml:space="preserve">        &lt;h_thread h_thread_id="1"/&gt;</w:t>
        <w:br/>
        <w:t/>
        <w:br/>
        <w:t xml:space="preserve">        &lt;ecel/&gt;                             &lt;ecel/&gt;                      &lt;ecel/&gt;&lt;nl/&gt;</w:t>
        <w:br/>
        <w:t xml:space="preserve">        &lt;ecel/&gt;                             &lt;ched/&gt;Continent             &lt;ched/&gt;Country&lt;nl/&gt;</w:t>
        <w:br/>
        <w:t xml:space="preserve">        &lt;rhed/&gt;&lt;thread thread_id="2"/&gt;             &lt;rhed/&gt;Asia                  &lt;rhed/&gt;Japan&lt;nl/&gt;</w:t>
        <w:br/>
        <w:t xml:space="preserve">    &lt;/table&gt;</w:t>
        <w:br/>
        <w:t>&lt;/table&gt;</w:t>
        <w:br/>
        <w:t>&lt;page_break/&gt;</w:t>
        <w:br/>
        <w:t/>
        <w:br/>
        <w:t>&lt;!-- page 2: --&gt;</w:t>
        <w:br/>
        <w:t>&lt;table&gt;</w:t>
        <w:br/>
        <w:t xml:space="preserve">    &lt;table&gt;&lt;loc_x0/&gt;&lt;loc_y0/&gt;&lt;loc_x1/&gt;&lt;loc_y1/&gt;</w:t>
        <w:br/>
        <w:t xml:space="preserve">        &lt;thread thread_id="1"/&gt;</w:t>
        <w:br/>
        <w:t xml:space="preserve">        &lt;h_thread h_thread_id="2"/&gt;</w:t>
        <w:br/>
        <w:t/>
        <w:br/>
        <w:t xml:space="preserve">        &lt;rhed/&gt;&lt;thread thread_id="2"/&gt;G7 member    &lt;rhed/&gt;&lt;thread thread_id="3"/&gt;Europe        &lt;rhed/&gt;France&lt;nl/&gt;</w:t>
        <w:br/>
        <w:t xml:space="preserve">        &lt;ucel/&gt;                             &lt;ucel/&gt;                            &lt;rhed/&gt;Germany&lt;nl/&gt;</w:t>
        <w:br/>
        <w:t xml:space="preserve">        &lt;ucel/&gt;                             &lt;ucel/&gt;                            &lt;rhed/&gt;Italy&lt;nl/&gt;</w:t>
        <w:br/>
        <w:t xml:space="preserve">    &lt;/table&gt;</w:t>
        <w:br/>
        <w:t>&lt;/table&gt;</w:t>
        <w:br/>
        <w:t>&lt;page_break/&gt;</w:t>
        <w:br/>
        <w:t/>
        <w:br/>
        <w:t>&lt;!-- page 3: --&gt;</w:t>
        <w:br/>
        <w:t>&lt;table&gt;</w:t>
        <w:br/>
        <w:t xml:space="preserve">    &lt;table&gt;&lt;loc_x0/&gt;&lt;loc_y0/&gt;&lt;loc_x1/&gt;&lt;loc_y1/&gt;</w:t>
        <w:br/>
        <w:t xml:space="preserve">        &lt;thread thread_id="1"/&gt;</w:t>
        <w:br/>
        <w:t xml:space="preserve">        &lt;h_thread h_thread_id="3"/&gt;</w:t>
        <w:br/>
        <w:t/>
        <w:br/>
        <w:t xml:space="preserve">        &lt;rhed/&gt;&lt;thread thread_id="2"/&gt;             &lt;rhed/&gt;&lt;thread thread_id="3"/&gt;            &lt;rhed/&gt;United Kingdom&lt;nl/&gt;</w:t>
        <w:br/>
        <w:t xml:space="preserve">        &lt;ucel/&gt;                             &lt;rhed/&gt;North America               &lt;rhed/&gt;Canada&lt;nl/&gt;</w:t>
        <w:br/>
        <w:t xml:space="preserve">        &lt;ucel/&gt;                             &lt;ucel/&gt;                            &lt;rhed/&gt;United States&lt;nl/&gt;</w:t>
        <w:br/>
        <w:t xml:space="preserve">    &lt;/table&gt;</w:t>
        <w:br/>
        <w:t>&lt;/table&gt;</w:t>
        <w:br/>
        <w:t>&lt;page_break/&gt;</w:t>
        <w:br/>
        <w:t/>
        <w:br/>
        <w:t>&lt;!-- page 4: --&gt;</w:t>
        <w:br/>
        <w:t>&lt;table&gt;</w:t>
        <w:br/>
        <w:t xml:space="preserve">    &lt;table&gt;&lt;loc_x0/&gt;&lt;loc_y0/&gt;&lt;loc_x1/&gt;&lt;loc_y1/&gt;</w:t>
        <w:br/>
        <w:t xml:space="preserve">        &lt;h_thread h_thread_id="1"/&gt;</w:t>
        <w:br/>
        <w:t/>
        <w:br/>
        <w:t xml:space="preserve">        &lt;ched/&gt;&lt;h_thread h_thread_id="4"/&gt;2025 d     &lt;lcel/&gt;                            &lt;lcel/&gt;&lt;nl/&gt;</w:t>
        <w:br/>
        <w:t xml:space="preserve">        &lt;ched/&gt;GDP (PPP) per capita in USD  &lt;ched/&gt;Currency                    &lt;ched/&gt;&lt;h_thread h_thread_id="5"/&gt;Key l&lt;nl/&gt;</w:t>
        <w:br/>
        <w:t xml:space="preserve">        &lt;fcel/&gt;46,097                       &lt;fcel/&gt;Japanese yen (JPY)          &lt;fcel/&gt;Shigeru Ishiba&lt;nl/&gt;</w:t>
        <w:br/>
        <w:t xml:space="preserve">    &lt;/table&gt;</w:t>
        <w:br/>
        <w:t>&lt;/table&gt;</w:t>
        <w:br/>
        <w:t>&lt;page_break/&gt;</w:t>
        <w:br/>
        <w:t/>
        <w:br/>
        <w:t>&lt;!-- page 5: --&gt;</w:t>
        <w:br/>
        <w:t>&lt;table&gt;</w:t>
        <w:br/>
        <w:t xml:space="preserve">    &lt;table&gt;&lt;loc_x0/&gt;&lt;loc_y0/&gt;&lt;loc_x1/&gt;&lt;loc_y1/&gt;</w:t>
        <w:br/>
        <w:t xml:space="preserve">        &lt;h_thread h_thread_id="2"/&gt;</w:t>
        <w:br/>
        <w:t/>
        <w:br/>
        <w:t xml:space="preserve">        &lt;fcel/&gt;54,465                       &lt;fcel/&gt;Euro (EUR)                  &lt;fcel/&gt;Emmanuel Macron&lt;nl/&gt;</w:t>
        <w:br/>
        <w:t xml:space="preserve">        &lt;fcel/&gt;62,830                       &lt;fcel/&gt;Euro (EUR)                  &lt;fcel/&gt;Friedrich Merz&lt;nl/&gt;</w:t>
        <w:br/>
        <w:t xml:space="preserve">        &lt;fcel/&gt;53,115                       &lt;fcel/&gt;Euro (EUR)                  &lt;fcel/&gt;Giorgia Meloni&lt;nl/&gt;</w:t>
        <w:br/>
        <w:t xml:space="preserve">    &lt;/table&gt;</w:t>
        <w:br/>
        <w:t>&lt;/table&gt;</w:t>
        <w:br/>
        <w:t>&lt;page_break/&gt;</w:t>
        <w:br/>
        <w:t/>
        <w:br/>
        <w:t>&lt;!-- page 6: --&gt;</w:t>
        <w:br/>
        <w:t>&lt;table&gt;</w:t>
        <w:br/>
        <w:t xml:space="preserve">    &lt;table&gt;&lt;loc_x0/&gt;&lt;loc_y0/&gt;&lt;loc_x1/&gt;&lt;loc_y1/&gt;</w:t>
        <w:br/>
        <w:t xml:space="preserve">        &lt;h_thread h_thread_id="3"/&gt;</w:t>
        <w:br/>
        <w:t/>
        <w:br/>
        <w:t xml:space="preserve">        &lt;fcel/&gt;52,518                       &lt;fcel/&gt;Pound sterling (GBP)        &lt;fcel/&gt;Keir Starmer&lt;nl/&gt;</w:t>
        <w:br/>
        <w:t xml:space="preserve">        &lt;fcel/&gt;62,830                       &lt;fcel/&gt;Canadian dollar             &lt;fcel/&gt;Mark Carney&lt;nl/&gt;</w:t>
        <w:br/>
        <w:t xml:space="preserve">        &lt;fcel/&gt;53,115                       &lt;fcel/&gt;United States dollar (USD)  &lt;fcel/&gt;Donald Trump&lt;nl/&gt;</w:t>
        <w:br/>
        <w:t xml:space="preserve">    &lt;/table&gt;</w:t>
        <w:br/>
        <w:t>&lt;/table&gt;</w:t>
        <w:br/>
        <w:t>&lt;page_break/&gt;</w:t>
        <w:br/>
        <w:t/>
        <w:br/>
        <w:t>&lt;!-- page 7: --&gt;</w:t>
        <w:br/>
        <w:t>&lt;table&gt;</w:t>
        <w:br/>
        <w:t xml:space="preserve">    &lt;table&gt;&lt;loc_x0/&gt;&lt;loc_y0/&gt;&lt;loc_x1/&gt;&lt;loc_y1/&gt;</w:t>
        <w:br/>
        <w:t xml:space="preserve">        &lt;h_thread h_thread_id="1"/&gt;</w:t>
        <w:br/>
        <w:t/>
        <w:br/>
        <w:t xml:space="preserve">        &lt;ched/&gt;&lt;h_thread h_thread_id="4"/&gt;etails     &lt;lcel/&gt;                            &lt;lcel/&gt;&lt;nl/&gt;</w:t>
        <w:br/>
        <w:t xml:space="preserve">        &lt;ched/&gt;&lt;h_thread h_thread_id="5"/&gt;eader      &lt;ched/&gt;Population in millions      &lt;ched/&gt;Area in km2&lt;nl/&gt;</w:t>
        <w:br/>
        <w:t xml:space="preserve">        &lt;fcel/&gt;Prime Minister               &lt;fcel/&gt;125.1                       &lt;fcel/&gt;377,975&lt;nl/&gt;</w:t>
        <w:br/>
        <w:t xml:space="preserve">    &lt;/table&gt;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&lt;ld/&gt;</w:t>
        <w:br/>
        <w:t xml:space="preserve">    &lt;text&gt;First item&lt;/text&gt;</w:t>
        <w:br/>
        <w:t xml:space="preserve">    &lt;ld/&gt;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r>
        <w:t xml:space="preserve">For tables that are broken across pages, we need to introduce two differnt tokens, namely the </w:t>
      </w:r>
      <w:r>
        <w:rPr>
          <w:rFonts w:ascii="Consolas" w:hAnsi="Consolas"/>
          <w:shd w:val="clear" w:color="auto" w:fill="F2F2F2"/>
        </w:rPr>
        <w:t>&lt;continue_col id=.../&gt;</w:t>
      </w:r>
      <w:r>
        <w:t xml:space="preserve"> and </w:t>
      </w:r>
      <w:r>
        <w:rPr>
          <w:rFonts w:ascii="Consolas" w:hAnsi="Consolas"/>
          <w:shd w:val="clear" w:color="auto" w:fill="F2F2F2"/>
        </w:rPr>
        <w:t>&lt;continue_row id="..."/&gt;</w:t>
      </w:r>
      <w:r>
        <w:t>. Same principle applies, if the OTSL starts/ends with any of these tokens, we know the the tables needs to be merged.</w:t>
      </w:r>
    </w:p>
    <w:p>
      <w:pPr>
        <w:pStyle w:val="Heading2"/>
      </w:pPr>
      <w:r>
        <w:t>Implementation Requirements</w:t>
      </w:r>
    </w:p>
    <w:p>
      <w:pPr>
        <w:pStyle w:val="Heading3"/>
      </w:pPr>
      <w:r>
        <w:t>Parser Requirements</w:t>
      </w:r>
    </w:p>
    <w:p>
      <w:r>
        <w:t>A conforming DocLang parser SHALL:</w:t>
      </w:r>
    </w:p>
    <w:p>
      <w:pPr>
        <w:pStyle w:val="ListNumber"/>
        <w:ind w:left="360" w:hanging="360"/>
      </w:pPr>
      <w:r>
        <w:rPr>
          <w:b/>
        </w:rPr>
        <w:t>Syntax Validation</w:t>
      </w:r>
      <w:r>
        <w:t>: Recognize all tokens defined in this standard</w:t>
      </w:r>
    </w:p>
    <w:p>
      <w:pPr>
        <w:pStyle w:val="ListNumber"/>
        <w:ind w:left="360" w:hanging="360"/>
      </w:pPr>
      <w:r>
        <w:rPr>
          <w:b/>
        </w:rPr>
        <w:t>Geometric Processing</w:t>
      </w:r>
      <w:r>
        <w:t>: Handle coordinate and bounding box elements correctly</w:t>
      </w:r>
    </w:p>
    <w:p>
      <w:pPr>
        <w:pStyle w:val="ListNumber"/>
        <w:ind w:left="360" w:hanging="360"/>
      </w:pPr>
      <w:r>
        <w:rPr>
          <w:b/>
        </w:rPr>
        <w:t>Version Support</w:t>
      </w:r>
      <w:r>
        <w:t>: Process version information and apply appropriate parsing rules</w:t>
      </w:r>
    </w:p>
    <w:p>
      <w:pPr>
        <w:pStyle w:val="ListNumber"/>
        <w:ind w:left="360" w:hanging="360"/>
      </w:pPr>
      <w:r>
        <w:rPr>
          <w:b/>
        </w:rPr>
        <w:t>Hierarchy Validation</w:t>
      </w:r>
      <w:r>
        <w:t>: Enforce parent-child relationship rules</w:t>
      </w:r>
    </w:p>
    <w:p>
      <w:pPr>
        <w:pStyle w:val="ListNumber"/>
        <w:ind w:left="360" w:hanging="360"/>
      </w:pPr>
      <w:r>
        <w:rPr>
          <w:b/>
        </w:rPr>
        <w:t>Continuation Handling</w:t>
      </w:r>
      <w:r>
        <w:t>: Correctly link continued content across page breaks</w:t>
      </w:r>
    </w:p>
    <w:p>
      <w:pPr>
        <w:pStyle w:val="ListNumber"/>
        <w:ind w:left="360" w:hanging="360"/>
      </w:pPr>
      <w:r>
        <w:rPr>
          <w:b/>
        </w:rPr>
        <w:t>Error Reporting</w:t>
      </w:r>
      <w:r>
        <w:t>: Provide meaningful error messages for invalid documents</w:t>
      </w:r>
    </w:p>
    <w:p>
      <w:pPr>
        <w:pStyle w:val="Heading3"/>
      </w:pPr>
      <w:r>
        <w:t>Serializer Requirements</w:t>
      </w:r>
    </w:p>
    <w:p>
      <w:r>
        <w:t>A conforming DocLang serializer SHALL:</w:t>
      </w:r>
    </w:p>
    <w:p>
      <w:pPr>
        <w:pStyle w:val="ListNumber"/>
        <w:ind w:left="360" w:hanging="360"/>
      </w:pPr>
      <w:r>
        <w:rPr>
          <w:b/>
        </w:rPr>
        <w:t>Valid Output</w:t>
      </w:r>
      <w:r>
        <w:t>: Generate syntactically correct DocLang documents</w:t>
      </w:r>
    </w:p>
    <w:p>
      <w:pPr>
        <w:pStyle w:val="ListNumber"/>
        <w:ind w:left="360" w:hanging="360"/>
      </w:pPr>
      <w:r>
        <w:rPr>
          <w:b/>
        </w:rPr>
        <w:t>Coordinate Normalization</w:t>
      </w:r>
      <w:r>
        <w:t>: Ensure coordinates fit within specified resolution</w:t>
      </w:r>
    </w:p>
    <w:p>
      <w:pPr>
        <w:pStyle w:val="ListNumber"/>
        <w:ind w:left="360" w:hanging="360"/>
      </w:pPr>
      <w:r>
        <w:rPr>
          <w:b/>
        </w:rPr>
        <w:t>Structure Preservation</w:t>
      </w:r>
      <w:r>
        <w:t>: Maintain element hierarchy and relationships</w:t>
      </w:r>
    </w:p>
    <w:p>
      <w:pPr>
        <w:pStyle w:val="ListNumber"/>
        <w:ind w:left="360" w:hanging="360"/>
      </w:pPr>
      <w:r>
        <w:rPr>
          <w:b/>
        </w:rPr>
        <w:t>Version Specification</w:t>
      </w:r>
      <w:r>
        <w:t>: Include appropriate version information</w:t>
      </w:r>
    </w:p>
    <w:p>
      <w:pPr>
        <w:pStyle w:val="ListNumber"/>
        <w:ind w:left="360" w:hanging="360"/>
      </w:pPr>
      <w:r>
        <w:rPr>
          <w:b/>
        </w:rPr>
        <w:t>Continuation Integrity</w:t>
      </w:r>
      <w:r>
        <w:t>: Ensure continuation tokens are properly paired</w:t>
      </w:r>
    </w:p>
    <w:p>
      <w:pPr>
        <w:pStyle w:val="Heading3"/>
      </w:pPr>
      <w:r>
        <w:t>Validation Rules</w:t>
      </w:r>
    </w:p>
    <w:p>
      <w:pPr>
        <w:pStyle w:val="Heading4"/>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4"/>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4"/>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4"/>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pPr>
        <w:pStyle w:val="Heading2"/>
      </w:pPr>
      <w:r>
        <w:t>Extensibility</w:t>
      </w:r>
    </w:p>
    <w:p>
      <w:pPr>
        <w:pStyle w:val="Heading3"/>
      </w:pPr>
      <w:r>
        <w:t>Future Token Addition</w:t>
      </w:r>
    </w:p>
    <w:p>
      <w:r>
        <w:t>New tokens may be added in minor version updates following these rules:</w:t>
      </w:r>
    </w:p>
    <w:p>
      <w:pPr>
        <w:pStyle w:val="ListNumber"/>
        <w:ind w:left="360" w:hanging="360"/>
      </w:pPr>
      <w:r>
        <w:t>New semantic tokens must specify content type (text or structural)</w:t>
      </w:r>
    </w:p>
    <w:p>
      <w:pPr>
        <w:pStyle w:val="ListNumber"/>
        <w:ind w:left="360" w:hanging="360"/>
      </w:pPr>
      <w:r>
        <w:t>New grouping tokens must define allowed children</w:t>
      </w:r>
    </w:p>
    <w:p>
      <w:pPr>
        <w:pStyle w:val="ListNumber"/>
        <w:ind w:left="360" w:hanging="360"/>
      </w:pPr>
      <w:r>
        <w:t>New structural tokens must specify usage context</w:t>
      </w:r>
    </w:p>
    <w:p>
      <w:pPr>
        <w:pStyle w:val="ListNumber"/>
        <w:ind w:left="360" w:hanging="360"/>
      </w:pPr>
      <w:r>
        <w:t>Backward compatibility must be maintained</w:t>
      </w:r>
    </w:p>
    <w:p>
      <w:pPr>
        <w:pStyle w:val="Heading3"/>
      </w:pPr>
      <w:r>
        <w:t>Custom Classifications</w:t>
      </w:r>
    </w:p>
    <w:p>
      <w:r>
        <w:t xml:space="preserve">The </w:t>
      </w:r>
      <w:r>
        <w:rPr>
          <w:rFonts w:ascii="Consolas" w:hAnsi="Consolas"/>
          <w:shd w:val="clear" w:color="auto" w:fill="F2F2F2"/>
        </w:rPr>
        <w:t>&lt;class&gt;</w:t>
      </w:r>
      <w:r>
        <w:t xml:space="preserve"> token supports extensible vocabularies:</w:t>
      </w:r>
    </w:p>
    <w:p>
      <w:pPr>
        <w:pStyle w:val="ListBullet"/>
        <w:ind w:left="360" w:hanging="360"/>
      </w:pPr>
      <w:r>
        <w:rPr>
          <w:b/>
        </w:rPr>
        <w:t>Programming languages</w:t>
      </w:r>
      <w:r>
        <w:t>: Python, JavaScript, C++, etc.</w:t>
      </w:r>
    </w:p>
    <w:p>
      <w:pPr>
        <w:pStyle w:val="ListBullet"/>
        <w:ind w:left="360" w:hanging="360"/>
      </w:pPr>
      <w:r>
        <w:rPr>
          <w:b/>
        </w:rPr>
        <w:t>Chart types</w:t>
      </w:r>
      <w:r>
        <w:t>: bar_chart, pie_chart, line_chart, scatter_plot, etc.</w:t>
      </w:r>
    </w:p>
    <w:p>
      <w:pPr>
        <w:pStyle w:val="ListBullet"/>
        <w:ind w:left="360" w:hanging="360"/>
      </w:pPr>
      <w:r>
        <w:rPr>
          <w:b/>
        </w:rPr>
        <w:t>Image types</w:t>
      </w:r>
      <w:r>
        <w:t>: photograph, diagram, screenshot, icon, logo, etc.</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The document root element. Starts with an optional [</w:t>
      </w:r>
      <w:r>
        <w:rPr>
          <w:rFonts w:ascii="Consolas" w:hAnsi="Consolas"/>
          <w:shd w:val="clear" w:color="auto" w:fill="F2F2F2"/>
        </w:rPr>
        <w:t>&lt;head&gt;</w:t>
      </w:r>
      <w:r>
        <w:t>](#head)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1">
              <w:r>
                <w:rPr>
                  <w:rStyle w:val="Hyperlink"/>
                </w:rPr>
                <w:t>https://www.doclang.ai/ns/v1"</w:t>
              </w:r>
            </w:hyperlink>
          </w:p>
        </w:tc>
        <w:tc>
          <w:tcPr>
            <w:tcW w:type="dxa" w:w="2160"/>
          </w:tcPr>
          <w:p>
            <w:r/>
            <w:r>
              <w:t>{"</w:t>
            </w:r>
            <w:hyperlink r:id="rId32">
              <w:r>
                <w:rPr>
                  <w:rStyle w:val="Hyperlink"/>
                </w:rPr>
                <w:t>https://www.doclang.ai/ns/v1"}</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"1.0.0"</w:t>
            </w:r>
          </w:p>
        </w:tc>
        <w:tc>
          <w:tcPr>
            <w:tcW w:type="dxa" w:w="2160"/>
          </w:tcPr>
          <w:p>
            <w:r/>
            <w:r>
              <w:t>In format "x.y.z" as per Semantic Versioning</w:t>
            </w:r>
          </w:p>
        </w:tc>
        <w:tc>
          <w:tcPr>
            <w:tcW w:type="dxa" w:w="2160"/>
          </w:tcPr>
          <w:p>
            <w:r/>
            <w:r>
              <w:t>The DocLang specification version the document was produced against.</w:t>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content --&gt;</w:t>
        <w:br/>
        <w:t>&lt;/doclang&gt;</w:t>
      </w:r>
    </w:p>
    <w:p>
      <w:pPr>
        <w:pStyle w:val="Heading4"/>
      </w:pPr>
      <w:r>
        <w:t>`&lt;head&gt;`</w:t>
      </w:r>
    </w:p>
    <w:p>
      <w:r>
        <w:t>Includes doc-level metadata.</w:t>
      </w:r>
    </w:p>
    <w:p>
      <w:pPr>
        <w:pStyle w:val="Heading5"/>
      </w:pPr>
      <w:r>
        <w:t>Allowed context</w:t>
      </w:r>
    </w:p>
    <w:p>
      <w:r>
        <w:t>Can only be first child of [</w:t>
      </w:r>
      <w:r>
        <w:rPr>
          <w:rFonts w:ascii="Consolas" w:hAnsi="Consolas"/>
          <w:shd w:val="clear" w:color="auto" w:fill="F2F2F2"/>
        </w:rPr>
        <w:t>&lt;doclang&gt;</w:t>
      </w:r>
      <w:r>
        <w:t>](#doclang).</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r:id="rId33">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Can only be child of [</w:t>
      </w:r>
      <w:r>
        <w:rPr>
          <w:rFonts w:ascii="Consolas" w:hAnsi="Consolas"/>
          <w:shd w:val="clear" w:color="auto" w:fill="F2F2F2"/>
        </w:rPr>
        <w:t>&lt;doclang&gt;</w:t>
      </w:r>
      <w:r>
        <w:t>](#doclang).</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hyperlink r:id="rId34">
        <w:r>
          <w:rPr>
            <w:rStyle w:val="Hyperlink"/>
          </w:rPr>
          <w:t>component head</w:t>
        </w:r>
      </w:hyperlink>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`&lt;table&gt;`</w:t>
      </w:r>
    </w:p>
    <w:p>
      <w:r>
        <w:t>Captures a table based on the OTSL format. Table cells are delimited by the respective structural elements.</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`&lt;list&gt;`</w:t>
      </w:r>
    </w:p>
    <w:p>
      <w:r>
        <w:t>Captures a list. List items are delimited by the respective structural elements.</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`&lt;field_heading&gt;`</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`&lt;field_item&gt;`</w:t>
      </w:r>
    </w:p>
    <w:p>
      <w:r>
        <w:t>Scoping of a field key (optional) and any corresponding values.</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`&lt;key&gt;`</w:t>
      </w:r>
    </w:p>
    <w:p>
      <w:r>
        <w:t>The key of a field (may correspond to  0-N field values).</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`&lt;value&gt;`</w:t>
      </w:r>
    </w:p>
    <w:p>
      <w:r>
        <w:t>A value of a field (may correspond to 0 or 1 field key).</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`&lt;hint&gt;`</w:t>
      </w:r>
    </w:p>
    <w:p>
      <w:r>
        <w:t>A hint regarding a field.</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3"/>
      </w:pPr>
      <w:r>
        <w:t>Component Head Elements</w:t>
      </w:r>
    </w:p>
    <w:p>
      <w:r>
        <w:t>The component head is a sequence comprising the following elements in this order, whereby all elements are optional:&lt;br /&gt;&lt;ul&gt;&lt;li&gt;</w:t>
      </w:r>
      <w:r>
        <w:rPr>
          <w:rFonts w:ascii="Consolas" w:hAnsi="Consolas"/>
          <w:shd w:val="clear" w:color="auto" w:fill="F2F2F2"/>
        </w:rPr>
        <w:t>&lt;thread&gt;</w:t>
      </w:r>
      <w:r>
        <w:t>&lt;/li&gt;&lt;li&gt;</w:t>
      </w:r>
      <w:r>
        <w:rPr>
          <w:rFonts w:ascii="Consolas" w:hAnsi="Consolas"/>
          <w:shd w:val="clear" w:color="auto" w:fill="F2F2F2"/>
        </w:rPr>
        <w:t>&lt;h_thread&gt;</w:t>
      </w:r>
      <w:r>
        <w:t>&lt;/li&gt;&lt;li&gt;</w:t>
      </w:r>
      <w:r>
        <w:rPr>
          <w:rFonts w:ascii="Consolas" w:hAnsi="Consolas"/>
          <w:shd w:val="clear" w:color="auto" w:fill="F2F2F2"/>
        </w:rPr>
        <w:t>&lt;meta&gt;</w:t>
      </w:r>
      <w:r>
        <w:t xml:space="preserve">&lt;/li&gt;&lt;li&gt;sequence of 2*N </w:t>
      </w:r>
      <w:r>
        <w:rPr>
          <w:rFonts w:ascii="Consolas" w:hAnsi="Consolas"/>
          <w:shd w:val="clear" w:color="auto" w:fill="F2F2F2"/>
        </w:rPr>
        <w:t>&lt;location&gt;</w:t>
      </w:r>
      <w:r>
        <w:t xml:space="preserve">s (N&gt;1)&lt;/li&gt;&lt;li&gt;sequence of </w:t>
      </w:r>
      <w:r>
        <w:rPr>
          <w:rFonts w:ascii="Consolas" w:hAnsi="Consolas"/>
          <w:shd w:val="clear" w:color="auto" w:fill="F2F2F2"/>
        </w:rPr>
        <w:t>&lt;timestamp&gt;</w:t>
      </w:r>
      <w:r>
        <w:t>s&lt;/li&gt;&lt;li&gt;</w:t>
      </w:r>
      <w:r>
        <w:rPr>
          <w:rFonts w:ascii="Consolas" w:hAnsi="Consolas"/>
          <w:shd w:val="clear" w:color="auto" w:fill="F2F2F2"/>
        </w:rPr>
        <w:t>&lt;layer&gt;</w:t>
      </w:r>
      <w:r>
        <w:t xml:space="preserve">&lt;/li&gt;&lt;/ul&gt; A component head can only appear as the leading content of a semantic or grouping element, or also of </w:t>
      </w:r>
      <w:r>
        <w:rPr>
          <w:rFonts w:ascii="Consolas" w:hAnsi="Consolas"/>
          <w:shd w:val="clear" w:color="auto" w:fill="F2F2F2"/>
        </w:rPr>
        <w:t>&lt;otsl&gt;</w:t>
      </w:r>
      <w:r>
        <w:t xml:space="preserve"> in the context of "implicit </w:t>
      </w:r>
      <w:r>
        <w:rPr>
          <w:rFonts w:ascii="Consolas" w:hAnsi="Consolas"/>
          <w:shd w:val="clear" w:color="auto" w:fill="F2F2F2"/>
        </w:rPr>
        <w:t>&lt;text&gt;</w:t>
      </w:r>
      <w:r>
        <w:t>s".&lt;br/&gt;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pages.&lt;br/&gt;  To capture such a component, we define separate instances of the respective element and use a [</w:t>
      </w:r>
      <w:r>
        <w:rPr>
          <w:rFonts w:ascii="Consolas" w:hAnsi="Consolas"/>
          <w:shd w:val="clear" w:color="auto" w:fill="F2F2F2"/>
        </w:rPr>
        <w:t>&lt;thread&gt;</w:t>
      </w:r>
      <w:r>
        <w:t xml:space="preserve">](#thread)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 xmlns="https://www.doclang.ai/ns/v1"&gt;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Optional; defaults to head metadata [</w:t>
            </w:r>
            <w:r>
              <w:rPr>
                <w:rFonts w:ascii="Consolas" w:hAnsi="Consolas"/>
                <w:shd w:val="clear" w:color="auto" w:fill="F2F2F2"/>
              </w:rPr>
              <w:t>&lt;default_resolution&gt;</w:t>
            </w:r>
            <w:r>
              <w:t>](#default_resolution), otherwise "512"</w:t>
            </w:r>
          </w:p>
        </w:tc>
        <w:tc>
          <w:tcPr>
            <w:tcW w:type="dxa" w:w="2160"/>
          </w:tcPr>
          <w:p>
            <w:r/>
            <w:r>
              <w:t>Postive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`&lt;classification&gt;`</w:t>
      </w:r>
    </w:p>
    <w:p>
      <w:pPr>
        <w:pStyle w:val="Heading5"/>
      </w:pPr>
      <w:r>
        <w:t>Allowed context</w:t>
      </w:r>
    </w:p>
    <w:p>
      <w:r>
        <w:t>Can only be child of [</w:t>
      </w:r>
      <w:r>
        <w:rPr>
          <w:rFonts w:ascii="Consolas" w:hAnsi="Consolas"/>
          <w:shd w:val="clear" w:color="auto" w:fill="F2F2F2"/>
        </w:rPr>
        <w:t>&lt;meta&gt;</w:t>
      </w:r>
      <w:r>
        <w:t>](#meta).</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Can only be child of [</w:t>
      </w:r>
      <w:r>
        <w:rPr>
          <w:rFonts w:ascii="Consolas" w:hAnsi="Consolas"/>
          <w:shd w:val="clear" w:color="auto" w:fill="F2F2F2"/>
        </w:rPr>
        <w:t>&lt;picture&gt;</w:t>
      </w:r>
      <w:r>
        <w:t>](#picture) or first child of [</w:t>
      </w:r>
      <w:r>
        <w:rPr>
          <w:rFonts w:ascii="Consolas" w:hAnsi="Consolas"/>
          <w:shd w:val="clear" w:color="auto" w:fill="F2F2F2"/>
        </w:rPr>
        <w:t>&lt;hyperlink&gt;</w:t>
      </w:r>
      <w:r>
        <w:t>](#hyperlink).</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selected</w:t>
            </w:r>
          </w:p>
        </w:tc>
        <w:tc>
          <w:tcPr>
            <w:tcW w:type="dxa" w:w="2160"/>
          </w:tcPr>
          <w:p>
            <w:r/>
            <w:r>
              <w:t>Optional;default: "false"</w:t>
            </w:r>
          </w:p>
        </w:tc>
        <w:tc>
          <w:tcPr>
            <w:tcW w:type="dxa" w:w="2160"/>
          </w:tcPr>
          <w:p>
            <w:r/>
            <w:r>
              <w:t>{"false", "true"}</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`&lt;hyperlink&gt;`</w:t>
      </w:r>
    </w:p>
    <w:p>
      <w:r>
        <w:t>Contains a [</w:t>
      </w:r>
      <w:r>
        <w:rPr>
          <w:rFonts w:ascii="Consolas" w:hAnsi="Consolas"/>
          <w:shd w:val="clear" w:color="auto" w:fill="F2F2F2"/>
        </w:rPr>
        <w:t>&lt;uri&gt;</w:t>
      </w:r>
      <w:r>
        <w:t>](#uri)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3"/>
      </w:pPr>
      <w:r>
        <w:t>Structural Elements</w:t>
      </w:r>
    </w:p>
    <w:p>
      <w:r>
        <w:t>Structural elements define boundaries within tabular content (</w:t>
      </w:r>
      <w:r>
        <w:rPr>
          <w:rFonts w:ascii="Consolas" w:hAnsi="Consolas"/>
          <w:shd w:val="clear" w:color="auto" w:fill="F2F2F2"/>
        </w:rPr>
        <w:t>&lt;otsl&gt;</w:t>
      </w:r>
      <w:r>
        <w:t>).</w:t>
      </w:r>
    </w:p>
    <w:p>
      <w:pPr>
        <w:pStyle w:val="Heading4"/>
      </w:pPr>
      <w:r>
        <w:t>`&lt;fcel&gt;`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`&lt;ecel&gt;`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`&lt;rhed&gt;`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`&lt;corn&gt;`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`&lt;srow&gt;`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`&lt;ucel&gt;`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`&lt;xcel&gt;`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`&lt;nl&gt;`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`&lt;ld&gt;`</w:t>
      </w:r>
    </w:p>
    <w:p>
      <w:r>
        <w:t>Delimiter defining the beginning of a list item. It can either be empty or contain a [</w:t>
      </w:r>
      <w:r>
        <w:rPr>
          <w:rFonts w:ascii="Consolas" w:hAnsi="Consolas"/>
          <w:shd w:val="clear" w:color="auto" w:fill="F2F2F2"/>
        </w:rPr>
        <w:t>&lt;marker&gt;</w:t>
      </w:r>
      <w:r>
        <w:t>](#marker).</w:t>
      </w:r>
    </w:p>
    <w:p>
      <w:pPr>
        <w:pStyle w:val="Heading5"/>
      </w:pPr>
      <w:r>
        <w:t>Allowed context</w:t>
      </w:r>
    </w:p>
    <w:p>
      <w:r>
        <w:t>Can only be child of [</w:t>
      </w:r>
      <w:r>
        <w:rPr>
          <w:rFonts w:ascii="Consolas" w:hAnsi="Consolas"/>
          <w:shd w:val="clear" w:color="auto" w:fill="F2F2F2"/>
        </w:rPr>
        <w:t>&lt;list&gt;</w:t>
      </w:r>
      <w:r>
        <w:t>](#list).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Only [</w:t>
            </w:r>
            <w:r>
              <w:rPr>
                <w:rFonts w:ascii="Consolas" w:hAnsi="Consolas"/>
                <w:shd w:val="clear" w:color="auto" w:fill="F2F2F2"/>
              </w:rPr>
              <w:t>&lt;marker&gt;</w:t>
            </w:r>
            <w:r>
              <w:t>](#marker)</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`&lt;date&gt;`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`&lt;topic&gt;`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appendix-a-reference" TargetMode="External"/><Relationship Id="rId15" Type="http://schemas.openxmlformats.org/officeDocument/2006/relationships/hyperlink" Target="https://iso639-3.sil.org/about"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hyperlink" Target="/examples/form/form-examples.md"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oclang.ai/ns/v1&quot;" TargetMode="External"/><Relationship Id="rId32" Type="http://schemas.openxmlformats.org/officeDocument/2006/relationships/hyperlink" Target="https://www.doclang.ai/ns/v1&quot;}" TargetMode="External"/><Relationship Id="rId33" Type="http://schemas.openxmlformats.org/officeDocument/2006/relationships/hyperlink" Target="#head-and-body-areas" TargetMode="External"/><Relationship Id="rId34" Type="http://schemas.openxmlformats.org/officeDocument/2006/relationships/hyperlink" Target="#component-head-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