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ISO XXX - DocLang: Universal Document Markup Format (Revised)</w:t>
      </w:r>
    </w:p>
    <w:p>
      <w:pPr>
        <w:pStyle w:val="Heading2"/>
      </w:pPr>
      <w:r>
        <w:t>Foreword</w:t>
      </w:r>
    </w:p>
    <w:p>
      <w:r>
        <w:t>This document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Alexander Eremenko</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International Standard specifies the DocLang format, a universal markup language for representing structured document content with semantic, geometric, and formatting information.</w:t>
      </w:r>
    </w:p>
    <w:p>
      <w:pPr>
        <w:pStyle w:val="Heading2"/>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2"/>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2"/>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2"/>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2"/>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2"/>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*global head* and the remaining content is called the *global body*. Unlike the component head, the global head is encapsulated in a dedicated </w:t>
      </w:r>
      <w:r>
        <w:rPr>
          <w:rFonts w:ascii="Consolas" w:hAnsi="Consolas"/>
          <w:shd w:val="clear" w:color="auto" w:fill="F2F2F2"/>
        </w:rPr>
        <w:t>&lt;head&gt;</w:t>
      </w:r>
      <w:r>
        <w:t xml:space="preserve"> element — the body is still unwrapped.</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2"/>
      </w:pPr>
      <w:r>
        <w:t>DocLang Structure</w:t>
      </w:r>
    </w:p>
    <w:p>
      <w:r>
        <w:t>DocLang is a constrained subset of XML with the following characteristics:</w:t>
      </w:r>
    </w:p>
    <w:p>
      <w:pPr>
        <w:pStyle w:val="ListBullet"/>
        <w:ind w:left="360" w:hanging="360"/>
      </w:pPr>
      <w:r>
        <w:t>Simplified syntax with a finite set of allowed tags</w:t>
      </w:r>
    </w:p>
    <w:p>
      <w:pPr>
        <w:pStyle w:val="ListBullet"/>
        <w:ind w:left="360" w:hanging="360"/>
      </w:pPr>
      <w:r>
        <w:t>Constrained use of attributes on most elements</w:t>
      </w:r>
    </w:p>
    <w:p>
      <w:pPr>
        <w:pStyle w:val="ListBullet"/>
        <w:ind w:left="360" w:hanging="360"/>
      </w:pPr>
      <w:r>
        <w:t>Character-based encoding using legal Unicode characters (except Null)</w:t>
      </w:r>
    </w:p>
    <w:p>
      <w:pPr>
        <w:pStyle w:val="ListBullet"/>
        <w:ind w:left="360" w:hanging="360"/>
      </w:pPr>
      <w:r>
        <w:t>Standard XML parsing rules apply for markup vs content distinction</w:t>
      </w:r>
    </w:p>
    <w:p>
      <w:r>
        <w:t xml:space="preserve">The individual DocLang elements are specified in the </w:t>
      </w:r>
      <w:hyperlink r:id="rId14">
        <w:r>
          <w:rPr>
            <w:rStyle w:val="Hyperlink"/>
          </w:rPr>
          <w:t>reference</w:t>
        </w:r>
      </w:hyperlink>
      <w:r>
        <w:t>.</w:t>
      </w:r>
    </w:p>
    <w:p>
      <w:pPr>
        <w:pStyle w:val="Heading3"/>
      </w:pPr>
      <w:r>
        <w:t>Metadata Elements</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4"/>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15">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5"/>
      </w:pPr>
      <w:r>
        <w:t>Governance metadata</w:t>
      </w:r>
    </w:p>
    <w:p>
      <w:r>
        <w:t>In addition to the core metadata elements, publishers can optionally provide metadata pertaining to document governance. These elements allow the communication of acceptable use, policy, licensing, contact information and compliance requirements.</w:t>
      </w:r>
    </w:p>
    <w:p>
      <w:pPr>
        <w:pStyle w:val="ListBullet"/>
        <w:ind w:left="360" w:hanging="360"/>
      </w:pPr>
      <w:r>
        <w:rPr>
          <w:rFonts w:ascii="Consolas" w:hAnsi="Consolas"/>
          <w:shd w:val="clear" w:color="auto" w:fill="F2F2F2"/>
        </w:rPr>
        <w:t>licenses</w:t>
      </w:r>
      <w:r>
        <w:t xml:space="preserve"> Indicate one or more licenses covering use of the documents.</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 In general, data classification is not globally standardized. Organizations usually define a classification system suitable for their respective mission. These elements allow an organization to classify document sensitivity in their own terms.</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organzation.</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 Similar to data classification, there are no standards specifying role semantics. This element allows organizations to describe access policy and roles in their own terms.</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ListBullet"/>
        <w:ind w:left="360" w:hanging="360"/>
      </w:pPr>
      <w:r>
        <w:rPr>
          <w:rFonts w:ascii="Consolas" w:hAnsi="Consolas"/>
          <w:shd w:val="clear" w:color="auto" w:fill="F2F2F2"/>
        </w:rPr>
        <w:t>compliance_requirements</w:t>
      </w:r>
      <w:r>
        <w:t xml:space="preserve"> States the compliance frameworks - regulatory or industrial - governing the lifecycle and use of the documents.</w:t>
      </w:r>
    </w:p>
    <w:p>
      <w:r>
        <w:t>Example use of these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&lt;/data_classificiation&gt;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&lt;deletion_method&gt;permamenent secure deletion&lt;/&lt;deletion_method&gt;&gt;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3"/>
      </w:pPr>
      <w:r>
        <w:t>The `meta` Element</w:t>
      </w:r>
    </w:p>
    <w:p>
      <w:r>
        <w:t xml:space="preserve">The </w:t>
      </w:r>
      <w:r>
        <w:rPr>
          <w:rFonts w:ascii="Consolas" w:hAnsi="Consolas"/>
          <w:shd w:val="clear" w:color="auto" w:fill="F2F2F2"/>
        </w:rPr>
        <w:t>meta</w:t>
      </w:r>
      <w:r>
        <w:t xml:space="preserve"> element is used to contain metadata about a specific component of the document.</w:t>
      </w:r>
    </w:p>
    <w:p>
      <w:r>
        <w:t xml:space="preserve">Below we list the reserved metadata elements to be used within </w:t>
      </w:r>
      <w:r>
        <w:rPr>
          <w:rFonts w:ascii="Consolas" w:hAnsi="Consolas"/>
          <w:shd w:val="clear" w:color="auto" w:fill="F2F2F2"/>
        </w:rPr>
        <w:t>&lt;meta&gt;</w:t>
      </w:r>
      <w:r>
        <w:t>:</w:t>
      </w:r>
    </w:p>
    <w:p>
      <w:pPr>
        <w:pStyle w:val="ListBullet"/>
        <w:ind w:left="360" w:hanging="360"/>
      </w:pPr>
      <w:r>
        <w:rPr>
          <w:rFonts w:ascii="Consolas" w:hAnsi="Consolas"/>
          <w:shd w:val="clear" w:color="auto" w:fill="F2F2F2"/>
        </w:rPr>
        <w:t>summary</w:t>
      </w:r>
    </w:p>
    <w:p>
      <w:pPr>
        <w:pStyle w:val="ListBullet"/>
        <w:ind w:left="360" w:hanging="360"/>
      </w:pPr>
      <w:r>
        <w:rPr>
          <w:rFonts w:ascii="Consolas" w:hAnsi="Consolas"/>
          <w:shd w:val="clear" w:color="auto" w:fill="F2F2F2"/>
        </w:rPr>
        <w:t>class</w:t>
      </w:r>
    </w:p>
    <w:p>
      <w:pPr>
        <w:pStyle w:val="ListBullet"/>
        <w:ind w:left="360" w:hanging="360"/>
      </w:pPr>
      <w:r>
        <w:rPr>
          <w:rFonts w:ascii="Consolas" w:hAnsi="Consolas"/>
          <w:shd w:val="clear" w:color="auto" w:fill="F2F2F2"/>
        </w:rPr>
        <w:t>language</w:t>
      </w:r>
    </w:p>
    <w:p>
      <w:r>
        <w:t>Here is an example usage, for instance considering a picture:</w:t>
      </w:r>
    </w:p>
    <w:p>
      <w:pPr>
        <w:shd w:val="clear" w:color="auto" w:fill="F2F2F2"/>
      </w:pPr>
      <w:r>
        <w:rPr>
          <w:rFonts w:ascii="Consolas" w:hAnsi="Consolas"/>
          <w:sz w:val="18"/>
        </w:rPr>
        <w:t>&lt;doclang&gt;</w:t>
        <w:br/>
        <w:t xml:space="preserve">  &lt;picture&gt;</w:t>
        <w:br/>
        <w:t xml:space="preserve">    &lt;meta&gt;</w:t>
        <w:br/>
        <w:t xml:space="preserve">      &lt;summary&gt;This image shows the distribution of the various data points in the dataset&lt;/summary&gt;</w:t>
        <w:br/>
        <w:t xml:space="preserve">      &lt;class&gt;pie_chart&lt;/class&gt;</w:t>
        <w:br/>
        <w:t xml:space="preserve">    &lt;/meta&gt;</w:t>
        <w:br/>
        <w:t xml:space="preserve">    &lt;location value="50"/&gt;&lt;location value="60"/&gt;&lt;location value="450"/&gt;&lt;location value="360"/&gt;</w:t>
        <w:br/>
        <w:t xml:space="preserve">    &lt;base64&gt;iVBORw0KGgoAAAANSUhEUgAA...truncated...5ErkJggg==&lt;/base64&gt;</w:t>
        <w:br/>
        <w:t xml:space="preserve">  &lt;/picture&gt;</w:t>
        <w:br/>
        <w:t>&lt;/doclang&gt;</w:t>
      </w:r>
    </w:p>
    <w:p>
      <w:pPr>
        <w:pStyle w:val="Heading2"/>
      </w:pPr>
      <w:r>
        <w:t>Grammar and Structure Rules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 version="1.0.0"&gt;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 version="1.0.0"&gt;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can appear inline via </w:t>
      </w:r>
      <w:r>
        <w:rPr>
          <w:rFonts w:ascii="Consolas" w:hAnsi="Consolas"/>
          <w:shd w:val="clear" w:color="auto" w:fill="F2F2F2"/>
        </w:rPr>
        <w:t>inline class="code"</w:t>
      </w:r>
      <w:r>
        <w:t xml:space="preserve"> or as block code via </w:t>
      </w:r>
      <w:r>
        <w:rPr>
          <w:rFonts w:ascii="Consolas" w:hAnsi="Consolas"/>
          <w:shd w:val="clear" w:color="auto" w:fill="F2F2F2"/>
        </w:rPr>
        <w:t>code</w:t>
      </w:r>
      <w:r>
        <w:t xml:space="preserve">. To classify the programming language of a block, include a </w:t>
      </w:r>
      <w:r>
        <w:rPr>
          <w:rFonts w:ascii="Consolas" w:hAnsi="Consolas"/>
          <w:shd w:val="clear" w:color="auto" w:fill="F2F2F2"/>
        </w:rPr>
        <w:t>&lt;class&gt;...&lt;/class&gt;</w:t>
      </w:r>
      <w:r>
        <w:t xml:space="preserve"> child inside </w:t>
      </w:r>
      <w:r>
        <w:rPr>
          <w:rFonts w:ascii="Consolas" w:hAnsi="Consolas"/>
          <w:shd w:val="clear" w:color="auto" w:fill="F2F2F2"/>
        </w:rPr>
        <w:t>code</w:t>
      </w:r>
      <w:r>
        <w:t xml:space="preserve">. When using groups, place coordinates only on semantic elements (e.g., </w:t>
      </w:r>
      <w:r>
        <w:rPr>
          <w:rFonts w:ascii="Consolas" w:hAnsi="Consolas"/>
          <w:shd w:val="clear" w:color="auto" w:fill="F2F2F2"/>
        </w:rPr>
        <w:t>caption</w:t>
      </w:r>
      <w:r>
        <w:t xml:space="preserve">, </w:t>
      </w:r>
      <w:r>
        <w:rPr>
          <w:rFonts w:ascii="Consolas" w:hAnsi="Consolas"/>
          <w:shd w:val="clear" w:color="auto" w:fill="F2F2F2"/>
        </w:rPr>
        <w:t>code</w:t>
      </w:r>
      <w:r>
        <w:t xml:space="preserve">), not on the </w:t>
      </w:r>
      <w:r>
        <w:rPr>
          <w:rFonts w:ascii="Consolas" w:hAnsi="Consolas"/>
          <w:shd w:val="clear" w:color="auto" w:fill="F2F2F2"/>
        </w:rPr>
        <w:t>group</w:t>
      </w:r>
      <w:r>
        <w:t xml:space="preserve"> itself.</w:t>
      </w:r>
    </w:p>
    <w:p>
      <w:r>
        <w:t>Basic inline code</w:t>
      </w:r>
    </w:p>
    <w:p>
      <w:pPr>
        <w:shd w:val="clear" w:color="auto" w:fill="F2F2F2"/>
      </w:pPr>
      <w:r>
        <w:rPr>
          <w:rFonts w:ascii="Consolas" w:hAnsi="Consolas"/>
          <w:sz w:val="18"/>
        </w:rPr>
        <w:t>&lt;text&gt;</w:t>
        <w:br/>
        <w:t xml:space="preserve">  Install with &lt;inline class="code"&gt;pip install docling&lt;/inline&gt; and run.</w:t>
        <w:br/>
        <w:t xml:space="preserve">  For environment checks, use &lt;inline class="code"&gt;python --version&lt;/inline&gt;.</w:t>
        <w:br/>
        <w:t xml:space="preserve">  Inline code preserves spacing and punctuation.</w:t>
        <w:br/>
        <w:t xml:space="preserve">  &lt;br/&gt;</w:t>
        <w:br/>
        <w:t xml:space="preserve">  Example path: &lt;inline class="code"&gt;/usr/local/bin&lt;/inline&gt;</w:t>
        <w:br/>
        <w:t xml:space="preserve">  &lt;br/&gt;</w:t>
        <w:br/>
        <w:t xml:space="preserve">  Variables like &lt;inline class="code"&gt;API_KEY&lt;/inline&gt; should not be committed.</w:t>
        <w:br/>
        <w:t xml:space="preserve">  &lt;br/&gt;</w:t>
        <w:br/>
        <w:t xml:space="preserve">  Use &lt;inline class="code"&gt;Ctrl+C&lt;/inline&gt; to stop the server.</w:t>
        <w:br/>
        <w:t xml:space="preserve">  &lt;br/&gt;</w:t>
        <w:br/>
        <w:t xml:space="preserve">  Command substitution: &lt;inline class="code"&gt;$(echo hello)&lt;/inline&gt;</w:t>
        <w:br/>
        <w:t xml:space="preserve">  &lt;br/&gt;</w:t>
        <w:br/>
        <w:t xml:space="preserve">  JSON snippet: &lt;inline class="code"&gt;{"ok":true}&lt;/inline&gt;</w:t>
        <w:br/>
        <w:t xml:space="preserve">  &lt;br/&gt;</w:t>
        <w:br/>
        <w:t xml:space="preserve">  Escaping: &lt;inline class="code"&gt;&amp;lt;tag&amp;gt;value&amp;lt;/tag&amp;gt;&lt;/inline&gt;</w:t>
        <w:br/>
        <w:t xml:space="preserve">  &lt;br/&gt;</w:t>
        <w:br/>
        <w:t xml:space="preserve">  Code fragments can mix with &lt;bold&gt;formatting&lt;/bold&gt; seamlessly.</w:t>
        <w:br/>
        <w:t xml:space="preserve">  &lt;br/&gt;</w:t>
        <w:br/>
        <w:t xml:space="preserve">  Use backticks sparingly; DocLang uses explicit tokens instead.</w:t>
        <w:br/>
        <w:t xml:space="preserve">  &lt;br/&gt;</w:t>
        <w:br/>
        <w:t xml:space="preserve">  End of examples.</w:t>
        <w:br/>
        <w:t/>
        <w:br/>
        <w:t>&lt;/text&gt;</w:t>
      </w:r>
    </w:p>
    <w:p>
      <w:r>
        <w:t>Basic block without language</w:t>
      </w:r>
    </w:p>
    <w:p>
      <w:pPr>
        <w:shd w:val="clear" w:color="auto" w:fill="F2F2F2"/>
      </w:pPr>
      <w:r>
        <w:rPr>
          <w:rFonts w:ascii="Consolas" w:hAnsi="Consolas"/>
          <w:sz w:val="18"/>
        </w:rPr>
        <w:t>&lt;code&gt;</w:t>
        <w:br/>
        <w:t xml:space="preserve">  echo "Hello, world!"</w:t>
        <w:br/>
        <w:t xml:space="preserve">  echo "Logs go to stdout by default"</w:t>
        <w:br/>
        <w:t>&lt;/code&gt;</w:t>
      </w:r>
    </w:p>
    <w:p>
      <w:r>
        <w:t xml:space="preserve">Block with language classification via </w:t>
      </w:r>
      <w:r>
        <w:rPr>
          <w:rFonts w:ascii="Consolas" w:hAnsi="Consolas"/>
          <w:shd w:val="clear" w:color="auto" w:fill="F2F2F2"/>
        </w:rPr>
        <w:t>&lt;class&gt;</w:t>
      </w:r>
    </w:p>
    <w:p>
      <w:pPr>
        <w:shd w:val="clear" w:color="auto" w:fill="F2F2F2"/>
      </w:pPr>
      <w:r>
        <w:rPr>
          <w:rFonts w:ascii="Consolas" w:hAnsi="Consolas"/>
          <w:sz w:val="18"/>
        </w:rPr>
        <w:t>&lt;code&gt;</w:t>
        <w:br/>
        <w:t xml:space="preserve">  &lt;class&gt;python&lt;/class&gt;</w:t>
        <w:br/>
        <w:t xml:space="preserve">  def add(a, b):</w:t>
        <w:br/>
        <w:t xml:space="preserve">      return a + b</w:t>
        <w:br/>
        <w:t/>
        <w:br/>
        <w:t xml:space="preserve">  if __name__ == "__main__":</w:t>
        <w:br/>
        <w:t xml:space="preserve">      print(add(2, 3))</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&lt;location value="10"/&gt;&lt;location value="80"/&gt;&lt;location value="400"/&gt;&lt;location value="300"/&gt;</w:t>
        <w:br/>
        <w:t xml:space="preserve">    &lt;class&gt;javascript&lt;/class&gt;</w:t>
        <w:br/>
        <w:t xml:space="preserve">    // Minimal Node.js server</w:t>
        <w:br/>
        <w:t xml:space="preserve">    import http from 'node:http';</w:t>
        <w:br/>
        <w:t xml:space="preserve">    const server = http.createServer((req, res) =&gt; {</w:t>
        <w:br/>
        <w:t xml:space="preserve">      res.end('OK');</w:t>
        <w:br/>
        <w:t xml:space="preserve">    });</w:t>
        <w:br/>
        <w:t xml:space="preserve">    server.listen(3000);</w:t>
        <w:br/>
        <w:t xml:space="preserve">  &lt;/code&gt;</w:t>
        <w:br/>
        <w:t xml:space="preserve">  &lt;footnote&gt;Source: examples/code/server.js&lt;/footnote&gt;</w:t>
        <w:br/>
        <w:t>&lt;/group&gt;</w:t>
      </w:r>
    </w:p>
    <w:p>
      <w:r>
        <w:t>Block with alternative language classification</w:t>
      </w:r>
    </w:p>
    <w:p>
      <w:pPr>
        <w:shd w:val="clear" w:color="auto" w:fill="F2F2F2"/>
      </w:pPr>
      <w:r>
        <w:rPr>
          <w:rFonts w:ascii="Consolas" w:hAnsi="Consolas"/>
          <w:sz w:val="18"/>
        </w:rPr>
        <w:t>&lt;code&gt;</w:t>
        <w:br/>
        <w:t xml:space="preserve">  &lt;class&gt;C++&lt;/class&gt;</w:t>
        <w:br/>
        <w:t xml:space="preserve">  #include &lt;iostream&gt;</w:t>
        <w:br/>
        <w:t xml:space="preserve">  int main(){ std::cout &lt;&lt; "hi"; }</w:t>
        <w:br/>
        <w:t>&lt;/code&gt;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&lt;code&gt;</w:t>
        <w:br/>
        <w:t xml:space="preserve">  &lt;class&gt;bash&lt;/class&gt;</w:t>
        <w:br/>
        <w:t xml:space="preserve">  # Part 1</w:t>
        <w:br/>
        <w:t xml:space="preserve">  seq 1 5 | while read n; do echo $n; done</w:t>
        <w:br/>
        <w:t xml:space="preserve">  &lt;thread id="code-42"/&gt;</w:t>
        <w:br/>
        <w:t>&lt;/code&gt;</w:t>
        <w:br/>
        <w:t>&lt;page_break/&gt;</w:t>
        <w:br/>
        <w:t>&lt;code&gt;</w:t>
        <w:br/>
        <w:t xml:space="preserve">  # Part 2 (continued)</w:t>
        <w:br/>
        <w:t xml:space="preserve">  &lt;thread id="code-42"/&gt;</w:t>
        <w:br/>
        <w:t xml:space="preserve">  echo "done"</w:t>
        <w:br/>
        <w:t>&lt;/code&gt;</w:t>
      </w:r>
    </w:p>
    <w:p>
      <w:pPr>
        <w:pStyle w:val="Heading3"/>
      </w:pPr>
      <w:r>
        <w:t>Math and Equations</w:t>
      </w:r>
    </w:p>
    <w:p>
      <w:r>
        <w:t xml:space="preserve">All math is authored as LaTeX inside </w:t>
      </w:r>
      <w:r>
        <w:rPr>
          <w:rFonts w:ascii="Consolas" w:hAnsi="Consolas"/>
          <w:shd w:val="clear" w:color="auto" w:fill="F2F2F2"/>
        </w:rPr>
        <w:t>inline class="formula"</w:t>
      </w:r>
      <w:r>
        <w:t xml:space="preserve"> (inline) or </w:t>
      </w:r>
      <w:r>
        <w:rPr>
          <w:rFonts w:ascii="Consolas" w:hAnsi="Consolas"/>
          <w:shd w:val="clear" w:color="auto" w:fill="F2F2F2"/>
        </w:rPr>
        <w:t>formula</w:t>
      </w:r>
      <w:r>
        <w:t xml:space="preserve"> (block). Do not use </w:t>
      </w:r>
      <w:r>
        <w:rPr>
          <w:rFonts w:ascii="Consolas" w:hAnsi="Consolas"/>
          <w:shd w:val="clear" w:color="auto" w:fill="F2F2F2"/>
        </w:rPr>
        <w:t>&lt;class&gt;</w:t>
      </w:r>
      <w:r>
        <w:t xml:space="preserve"> for math; language classification is not applicable here. The optional </w:t>
      </w:r>
      <w:r>
        <w:rPr>
          <w:rFonts w:ascii="Consolas" w:hAnsi="Consolas"/>
          <w:shd w:val="clear" w:color="auto" w:fill="F2F2F2"/>
        </w:rPr>
        <w:t>&lt;marker&gt;</w:t>
      </w:r>
      <w:r>
        <w:t xml:space="preserve"> child inside </w:t>
      </w:r>
      <w:r>
        <w:rPr>
          <w:rFonts w:ascii="Consolas" w:hAnsi="Consolas"/>
          <w:shd w:val="clear" w:color="auto" w:fill="F2F2F2"/>
        </w:rPr>
        <w:t>formula</w:t>
      </w:r>
      <w:r>
        <w:t xml:space="preserve"> carries the printed equation number or label (e.g., “(1)”, “Eq. 3”). If present, include it as plain text within </w:t>
      </w:r>
      <w:r>
        <w:rPr>
          <w:rFonts w:ascii="Consolas" w:hAnsi="Consolas"/>
          <w:shd w:val="clear" w:color="auto" w:fill="F2F2F2"/>
        </w:rPr>
        <w:t>&lt;marker&gt;</w:t>
      </w:r>
      <w:r>
        <w:t>.</w:t>
      </w:r>
    </w:p>
    <w:p>
      <w:r>
        <w:t>Inline math examples</w:t>
      </w:r>
    </w:p>
    <w:p>
      <w:pPr>
        <w:shd w:val="clear" w:color="auto" w:fill="F2F2F2"/>
      </w:pPr>
      <w:r>
        <w:rPr>
          <w:rFonts w:ascii="Consolas" w:hAnsi="Consolas"/>
          <w:sz w:val="18"/>
        </w:rPr>
        <w:t>&lt;text&gt;</w:t>
        <w:br/>
        <w:t xml:space="preserve">  The famous relation &lt;inline class="formula"&gt;E = mc^2&lt;/inline&gt; connects mass and energy.</w:t>
        <w:br/>
        <w:t xml:space="preserve">  For small x, &lt;inline class="formula"&gt;\sin x \approx x - x^3/3!&lt;/inline&gt; holds.</w:t>
        <w:br/>
        <w:t xml:space="preserve">  The binomial: &lt;inline class="formula"&gt;(a+b)^n = \sum_{k=0}^n \binom{n}{k} a^{n-k} b^k&lt;/inline&gt;.</w:t>
        <w:br/>
        <w:t>&lt;/text&gt;</w:t>
      </w:r>
    </w:p>
    <w:p>
      <w:r>
        <w:t>Basic block formula (no numbering)</w:t>
      </w:r>
    </w:p>
    <w:p>
      <w:pPr>
        <w:shd w:val="clear" w:color="auto" w:fill="F2F2F2"/>
      </w:pPr>
      <w:r>
        <w:rPr>
          <w:rFonts w:ascii="Consolas" w:hAnsi="Consolas"/>
          <w:sz w:val="18"/>
        </w:rPr>
        <w:t>&lt;formula&gt;</w:t>
        <w:br/>
        <w:t xml:space="preserve">  \int_{-\infty}^{\infty} e^{-x^2}\,dx = \sqrt{\pi}</w:t>
        <w:br/>
        <w:t>&lt;/formula&gt;</w:t>
      </w:r>
    </w:p>
    <w:p>
      <w:r>
        <w:t>Block formula with optional marker (numbering/label)</w:t>
      </w:r>
    </w:p>
    <w:p>
      <w:pPr>
        <w:shd w:val="clear" w:color="auto" w:fill="F2F2F2"/>
      </w:pPr>
      <w:r>
        <w:rPr>
          <w:rFonts w:ascii="Consolas" w:hAnsi="Consolas"/>
          <w:sz w:val="18"/>
        </w:rPr>
        <w:t>&lt;formula&gt;</w:t>
        <w:br/>
        <w:t xml:space="preserve">  &lt;marker&gt;(1)&lt;/marker&gt;</w:t>
        <w:br/>
        <w:t xml:space="preserve">  a^2 + b^2 = c^2</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&lt;formula&gt;</w:t>
        <w:br/>
        <w:t xml:space="preserve">    &lt;location value="10"/&gt;&lt;location value="80"/&gt;&lt;location value="400"/&gt;&lt;location value="150"/&gt;</w:t>
        <w:br/>
        <w:t xml:space="preserve">    &lt;marker&gt;(2)&lt;/marker&gt;</w:t>
        <w:br/>
        <w:t xml:space="preserve">    f(x) = \frac{1}{\sigma\sqrt{2\pi}}\,\exp\!\left(-\frac{(x-\mu)^2}{2\sigma^2}\right)</w:t>
        <w:br/>
        <w:t xml:space="preserve">  &lt;/formula&gt;</w:t>
        <w:br/>
        <w:t xml:space="preserve">  &lt;footnote&gt;Parameters: mean \mu and standard deviation \sigma.&lt;/footnote&gt;</w:t>
        <w:br/>
        <w:t xml:space="preserve">  &lt;!-- Note: Coordinates apply to semantic elements like caption/formula, not the group. --&gt;</w:t>
        <w:br/>
        <w:t/>
        <w:br/>
        <w:t>&lt;/group&gt;</w:t>
      </w:r>
    </w:p>
    <w:p>
      <w:r>
        <w:t>Multi-line LaTeX (align) in a single formula</w:t>
      </w:r>
    </w:p>
    <w:p>
      <w:pPr>
        <w:shd w:val="clear" w:color="auto" w:fill="F2F2F2"/>
      </w:pPr>
      <w:r>
        <w:rPr>
          <w:rFonts w:ascii="Consolas" w:hAnsi="Consolas"/>
          <w:sz w:val="18"/>
        </w:rPr>
        <w:t>&lt;formula&gt;</w:t>
        <w:br/>
        <w:t xml:space="preserve">  &lt;marker&gt;Eq. 3&lt;/marker&gt;</w:t>
        <w:br/>
        <w:t xml:space="preserve">  \begin{align}</w:t>
        <w:br/>
        <w:t xml:space="preserve">    \nabla\cdot\mathbf{E} &amp;= \frac{\rho}{\varepsilon_0} \\</w:t>
        <w:br/>
        <w:t xml:space="preserve">    \nabla\cdot\mathbf{B} &amp;= 0</w:t>
        <w:br/>
        <w:t xml:space="preserve">  \end{align}</w:t>
        <w:br/>
        <w:t>&lt;/formula&gt;</w:t>
      </w:r>
    </w:p>
    <w:p>
      <w:r>
        <w:t>Cross-page block formula with continuation</w:t>
      </w:r>
    </w:p>
    <w:p>
      <w:pPr>
        <w:shd w:val="clear" w:color="auto" w:fill="F2F2F2"/>
      </w:pPr>
      <w:r>
        <w:rPr>
          <w:rFonts w:ascii="Consolas" w:hAnsi="Consolas"/>
          <w:sz w:val="18"/>
        </w:rPr>
        <w:t>&lt;formula&gt;</w:t>
        <w:br/>
        <w:t xml:space="preserve">  &lt;marker&gt;(4)&lt;/marker&gt;</w:t>
        <w:br/>
        <w:t xml:space="preserve">  \begin{equation}</w:t>
        <w:br/>
        <w:t xml:space="preserve">    \mathbf{F}(t) = \int_0^t e^{A(t-\tau)}\,\mathbf{b}(\tau)\,d\tau</w:t>
        <w:br/>
        <w:t xml:space="preserve">  \end{equation}</w:t>
        <w:br/>
        <w:t xml:space="preserve">  &lt;thread id="eq-100"/&gt;</w:t>
        <w:br/>
        <w:t>&lt;/formula&gt;</w:t>
        <w:br/>
        <w:t>&lt;page_break/&gt;</w:t>
        <w:br/>
        <w:t>&lt;formula&gt;</w:t>
        <w:br/>
        <w:t xml:space="preserve">  &lt;thread id="eq-100"/&gt;</w:t>
        <w:br/>
        <w:t xml:space="preserve">  % Optional tail content if the printed equation spans pages</w:t>
        <w:br/>
        <w:t>&lt;/formula&gt;</w:t>
      </w:r>
    </w:p>
    <w:p>
      <w:r>
        <w:t>Notes</w:t>
      </w:r>
    </w:p>
    <w:p>
      <w:pPr>
        <w:pStyle w:val="ListBullet"/>
        <w:ind w:left="360" w:hanging="360"/>
      </w:pPr>
      <w:r>
        <w:t xml:space="preserve">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ListBullet"/>
        <w:ind w:left="360" w:hanging="360"/>
      </w:pPr>
      <w:r>
        <w:rPr>
          <w:rFonts w:ascii="Consolas" w:hAnsi="Consolas"/>
          <w:shd w:val="clear" w:color="auto" w:fill="F2F2F2"/>
        </w:rPr>
        <w:t>&lt;marker&gt;</w:t>
      </w:r>
      <w:r>
        <w:t xml:space="preserve"> is optional. Include it only when the page shows an equation number/label.</w:t>
      </w:r>
    </w:p>
    <w:p>
      <w:pPr>
        <w:pStyle w:val="ListBullet"/>
        <w:ind w:left="360" w:hanging="360"/>
      </w:pPr>
      <w:r>
        <w:t xml:space="preserve">Place coordinates on </w:t>
      </w:r>
      <w:r>
        <w:rPr>
          <w:rFonts w:ascii="Consolas" w:hAnsi="Consolas"/>
          <w:shd w:val="clear" w:color="auto" w:fill="F2F2F2"/>
        </w:rPr>
        <w:t>formula</w:t>
      </w:r>
      <w:r>
        <w:t xml:space="preserve"> and </w:t>
      </w:r>
      <w:r>
        <w:rPr>
          <w:rFonts w:ascii="Consolas" w:hAnsi="Consolas"/>
          <w:shd w:val="clear" w:color="auto" w:fill="F2F2F2"/>
        </w:rPr>
        <w:t>caption</w:t>
      </w:r>
      <w:r>
        <w:t xml:space="preserve"> as needed; never on the surrounding </w:t>
      </w:r>
      <w:r>
        <w:rPr>
          <w:rFonts w:ascii="Consolas" w:hAnsi="Consolas"/>
          <w:shd w:val="clear" w:color="auto" w:fill="F2F2F2"/>
        </w:rPr>
        <w:t>group</w:t>
      </w:r>
      <w:r>
        <w:t>.</w:t>
      </w:r>
    </w:p>
    <w:p>
      <w:pPr>
        <w:pStyle w:val="Heading3"/>
      </w:pPr>
      <w:r>
        <w:t>Tables</w:t>
      </w:r>
    </w:p>
    <w:p>
      <w:r>
        <w:t>DocLang separates the table’s structure from its surrounding semantics:</w:t>
      </w:r>
    </w:p>
    <w:p>
      <w:pPr>
        <w:pStyle w:val="ListBullet"/>
        <w:ind w:left="360" w:hanging="360"/>
      </w:pPr>
      <w:r>
        <w:rPr>
          <w:rFonts w:ascii="Consolas" w:hAnsi="Consolas"/>
          <w:shd w:val="clear" w:color="auto" w:fill="F2F2F2"/>
        </w:rPr>
        <w:t>group</w:t>
      </w:r>
      <w:r>
        <w:t xml:space="preserve">: Semantic container that may include </w:t>
      </w:r>
      <w:r>
        <w:rPr>
          <w:rFonts w:ascii="Consolas" w:hAnsi="Consolas"/>
          <w:shd w:val="clear" w:color="auto" w:fill="F2F2F2"/>
        </w:rPr>
        <w:t>caption</w:t>
      </w:r>
      <w:r>
        <w:t xml:space="preserve">, multiple </w:t>
      </w:r>
      <w:r>
        <w:rPr>
          <w:rFonts w:ascii="Consolas" w:hAnsi="Consolas"/>
          <w:shd w:val="clear" w:color="auto" w:fill="F2F2F2"/>
        </w:rPr>
        <w:t>footnote</w:t>
      </w:r>
      <w:r>
        <w:t xml:space="preserve"> elements, and exactly one </w:t>
      </w:r>
      <w:r>
        <w:rPr>
          <w:rFonts w:ascii="Consolas" w:hAnsi="Consolas"/>
          <w:shd w:val="clear" w:color="auto" w:fill="F2F2F2"/>
        </w:rPr>
        <w:t>otsl</w:t>
      </w:r>
      <w:r>
        <w:t xml:space="preserve"> child for the structure. Do not put coordinates on the </w:t>
      </w:r>
      <w:r>
        <w:rPr>
          <w:rFonts w:ascii="Consolas" w:hAnsi="Consolas"/>
          <w:shd w:val="clear" w:color="auto" w:fill="F2F2F2"/>
        </w:rPr>
        <w:t>group</w:t>
      </w:r>
      <w:r>
        <w:t>.</w:t>
      </w:r>
    </w:p>
    <w:p>
      <w:pPr>
        <w:pStyle w:val="ListBullet"/>
        <w:ind w:left="360" w:hanging="360"/>
      </w:pPr>
      <w:r>
        <w:rPr>
          <w:rFonts w:ascii="Consolas" w:hAnsi="Consolas"/>
          <w:shd w:val="clear" w:color="auto" w:fill="F2F2F2"/>
        </w:rPr>
        <w:t>otsl</w:t>
      </w:r>
      <w:r>
        <w:t xml:space="preserve">: The structural table token sequence. Put the table region’s coordinates on </w:t>
      </w:r>
      <w:r>
        <w:rPr>
          <w:rFonts w:ascii="Consolas" w:hAnsi="Consolas"/>
          <w:shd w:val="clear" w:color="auto" w:fill="F2F2F2"/>
        </w:rPr>
        <w:t>otsl</w:t>
      </w:r>
      <w:r>
        <w:t xml:space="preserve"> for each page fragment. Cells are created by structural tokens (e.g., </w:t>
      </w:r>
      <w:r>
        <w:rPr>
          <w:rFonts w:ascii="Consolas" w:hAnsi="Consolas"/>
          <w:shd w:val="clear" w:color="auto" w:fill="F2F2F2"/>
        </w:rPr>
        <w:t>&lt;fcel/&gt;</w:t>
      </w:r>
      <w:r>
        <w:t xml:space="preserve">, </w:t>
      </w:r>
      <w:r>
        <w:rPr>
          <w:rFonts w:ascii="Consolas" w:hAnsi="Consolas"/>
          <w:shd w:val="clear" w:color="auto" w:fill="F2F2F2"/>
        </w:rPr>
        <w:t>&lt;ched/&gt;</w:t>
      </w:r>
      <w:r>
        <w:t>) and their content follows immediately after each cell token.</w:t>
      </w:r>
    </w:p>
    <w:p>
      <w:r>
        <w:t>Basic example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&lt;otsl&gt;</w:t>
        <w:br/>
        <w:t xml:space="preserve">    &lt;location value="40"/&gt;&lt;location value="130"/&gt;&lt;location value="540"/&gt;&lt;location value="320"/&gt;</w:t>
        <w:br/>
        <w:t xml:space="preserve">    &lt;ched/&gt;Method&lt;ched/&gt;Accuracy&lt;nl/&gt;</w:t>
        <w:br/>
        <w:t xml:space="preserve">    &lt;fcel/&gt;Baseline&lt;fcel/&gt;0.85&lt;nl/&gt;</w:t>
        <w:br/>
        <w:t xml:space="preserve">    &lt;fcel/&gt;Proposed&lt;fcel/&gt;0.92&lt;nl/&gt;</w:t>
        <w:br/>
        <w:t xml:space="preserve">  &lt;/otsl&gt;</w:t>
        <w:br/>
        <w:t xml:space="preserve">  &lt;footnote&gt;Accuracy reported on validation set.&lt;/footnote&gt;</w:t>
        <w:br/>
        <w:t/>
        <w:br/>
        <w:t>&lt;/group&gt;</w:t>
      </w:r>
    </w:p>
    <w:p>
      <w:r>
        <w:t>Peculiarities and continuation</w:t>
      </w:r>
    </w:p>
    <w:p>
      <w:pPr>
        <w:pStyle w:val="ListNumber"/>
        <w:ind w:left="360" w:hanging="360"/>
      </w:pPr>
      <w:r>
        <w:t>Broken over rows (vertical split across pages)</w:t>
      </w:r>
    </w:p>
    <w:p>
      <w:r>
        <w:t xml:space="preserve">Use </w:t>
      </w:r>
      <w:r>
        <w:rPr>
          <w:rFonts w:ascii="Consolas" w:hAnsi="Consolas"/>
          <w:shd w:val="clear" w:color="auto" w:fill="F2F2F2"/>
        </w:rPr>
        <w:t>&lt;continue_row id="..."/&gt;</w:t>
      </w:r>
      <w:r>
        <w:t xml:space="preserve"> at the end of the first fragment and the start of the next fragment’s </w:t>
      </w:r>
      <w:r>
        <w:rPr>
          <w:rFonts w:ascii="Consolas" w:hAnsi="Consolas"/>
          <w:shd w:val="clear" w:color="auto" w:fill="F2F2F2"/>
        </w:rPr>
        <w:t>otsl</w:t>
      </w:r>
      <w:r>
        <w:t>.</w:t>
      </w:r>
    </w:p>
    <w:p>
      <w:pPr>
        <w:shd w:val="clear" w:color="auto" w:fill="F2F2F2"/>
      </w:pPr>
      <w:r>
        <w:rPr>
          <w:rFonts w:ascii="Consolas" w:hAnsi="Consolas"/>
          <w:sz w:val="18"/>
        </w:rPr>
        <w:t>&lt;group&gt;</w:t>
        <w:br/>
        <w:t xml:space="preserve">  &lt;caption&gt;Table 2: Long Results&lt;/caption&gt;</w:t>
        <w:br/>
        <w:t xml:space="preserve">  &lt;otsl&gt;</w:t>
        <w:br/>
        <w:t xml:space="preserve">    &lt;location value="40"/&gt;&lt;location value="120"/&gt;&lt;location value="540"/&gt;&lt;location value="760"/&gt;</w:t>
        <w:br/>
        <w:t xml:space="preserve">    &lt;ched/&gt;ID&lt;ched/&gt;Name&lt;ched/&gt;Score&lt;nl/&gt;</w:t>
        <w:br/>
        <w:t xml:space="preserve">    &lt;fcel/&gt;1&lt;fcel/&gt;Alice&lt;fcel/&gt;91&lt;nl/&gt;</w:t>
        <w:br/>
        <w:t xml:space="preserve">    &lt;fcel/&gt;2&lt;fcel/&gt;Bob&lt;fcel/&gt;88&lt;nl/&gt;</w:t>
        <w:br/>
        <w:t xml:space="preserve">    &lt;continue_row id="T-rows"/&gt;</w:t>
        <w:br/>
        <w:t xml:space="preserve">  &lt;/otsl&gt;</w:t>
        <w:br/>
        <w:t>&lt;/group&gt;</w:t>
        <w:br/>
        <w:t>&lt;page_break/&gt;</w:t>
        <w:br/>
        <w:t>&lt;group&gt;</w:t>
        <w:br/>
        <w:t xml:space="preserve">  &lt;otsl&gt;</w:t>
        <w:br/>
        <w:t xml:space="preserve">    &lt;location value="40"/&gt;&lt;location value="80"/&gt;&lt;location value="540"/&gt;&lt;location value="300"/&gt;</w:t>
        <w:br/>
        <w:t xml:space="preserve">    &lt;continue_row id="T-rows"/&gt;</w:t>
        <w:br/>
        <w:t xml:space="preserve">    &lt;fcel/&gt;3&lt;fcel/&gt;Cara&lt;fcel/&gt;95&lt;nl/&gt;</w:t>
        <w:br/>
        <w:t xml:space="preserve">    &lt;fcel/&gt;4&lt;fcel/&gt;Dan&lt;fcel/&gt;89&lt;nl/&gt;</w:t>
        <w:br/>
        <w:t xml:space="preserve">  &lt;/otsl&gt;</w:t>
        <w:br/>
        <w:t>&lt;/group&gt;</w:t>
      </w:r>
    </w:p>
    <w:p>
      <w:pPr>
        <w:pStyle w:val="ListNumber"/>
        <w:ind w:left="360" w:hanging="360"/>
      </w:pPr>
      <w:r>
        <w:t>Broken over columns (horizontal split across facing pages)</w:t>
      </w:r>
    </w:p>
    <w:p>
      <w:r>
        <w:t xml:space="preserve">Use </w:t>
      </w:r>
      <w:r>
        <w:rPr>
          <w:rFonts w:ascii="Consolas" w:hAnsi="Consolas"/>
          <w:shd w:val="clear" w:color="auto" w:fill="F2F2F2"/>
        </w:rPr>
        <w:t>&lt;continue_col id="..."/&gt;</w:t>
      </w:r>
      <w:r>
        <w:t xml:space="preserve"> to indicate that columns continue on an adjacent page. Place it at the right edge of the left fragment and the left edge of the right fragment.</w:t>
      </w:r>
    </w:p>
    <w:p>
      <w:pPr>
        <w:shd w:val="clear" w:color="auto" w:fill="F2F2F2"/>
      </w:pPr>
      <w:r>
        <w:rPr>
          <w:rFonts w:ascii="Consolas" w:hAnsi="Consolas"/>
          <w:sz w:val="18"/>
        </w:rPr>
        <w:t>&lt;!-- Left page --&gt;</w:t>
        <w:br/>
        <w:t>&lt;group&gt;</w:t>
        <w:br/>
        <w:t xml:space="preserve">  &lt;otsl&gt;</w:t>
        <w:br/>
        <w:t xml:space="preserve">    &lt;location value="40"/&gt;&lt;location value="120"/&gt;&lt;location value="300"/&gt;&lt;location value="760"/&gt;</w:t>
        <w:br/>
        <w:t xml:space="preserve">    &lt;ched/&gt;Metric&lt;ched/&gt;Model A&lt;nl/&gt;</w:t>
        <w:br/>
        <w:t xml:space="preserve">    &lt;fcel/&gt;Accuracy&lt;fcel/&gt;0.92&lt;nl/&gt;</w:t>
        <w:br/>
        <w:t xml:space="preserve">    &lt;fcel/&gt;F1&lt;fcel/&gt;0.90&lt;nl/&gt;</w:t>
        <w:br/>
        <w:t xml:space="preserve">    &lt;continue_col id="T-cols"/&gt;</w:t>
        <w:br/>
        <w:t xml:space="preserve">  &lt;/otsl&gt;</w:t>
        <w:br/>
        <w:t>&lt;/group&gt;</w:t>
        <w:br/>
        <w:t/>
        <w:br/>
        <w:t>&lt;!-- Right page --&gt;</w:t>
        <w:br/>
        <w:t>&lt;group&gt;</w:t>
        <w:br/>
        <w:t xml:space="preserve">  &lt;otsl&gt;</w:t>
        <w:br/>
        <w:t xml:space="preserve">    &lt;location value="320"/&gt;&lt;location value="120"/&gt;&lt;location value="820"/&gt;&lt;location value="760"/&gt;</w:t>
        <w:br/>
        <w:t xml:space="preserve">    &lt;continue_col id="T-cols"/&gt;</w:t>
        <w:br/>
        <w:t xml:space="preserve">    &lt;ched/&gt;Model B&lt;nl/&gt;</w:t>
        <w:br/>
        <w:t xml:space="preserve">    &lt;fcel/&gt;0.93&lt;nl/&gt;</w:t>
        <w:br/>
        <w:t xml:space="preserve">    &lt;fcel/&gt;0.91&lt;nl/&gt;</w:t>
        <w:br/>
        <w:t xml:space="preserve">  &lt;/otsl&gt;</w:t>
        <w:br/>
        <w:t>&lt;/group&gt;</w:t>
      </w:r>
    </w:p>
    <w:p>
      <w:pPr>
        <w:pStyle w:val="ListNumber"/>
        <w:ind w:left="360" w:hanging="360"/>
      </w:pPr>
      <w:r>
        <w:t>Rich cells (cells can contain arbitrary document content)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&lt;otsl&gt;</w:t>
        <w:br/>
        <w:t xml:space="preserve">    &lt;location value="40"/&gt;&lt;location value="200"/&gt;&lt;location value="560"/&gt;&lt;location value="620"/&gt;</w:t>
        <w:br/>
        <w:t xml:space="preserve">    &lt;ched/&gt;Description&lt;ched/&gt;Details&lt;nl/&gt;</w:t>
        <w:br/>
        <w:t xml:space="preserve">    &lt;fcel/&gt;</w:t>
        <w:br/>
        <w:t xml:space="preserve">      &lt;text&gt;Pipeline steps&lt;/text&gt;</w:t>
        <w:br/>
        <w:t xml:space="preserve">    &lt;fcel/&gt;</w:t>
        <w:br/>
        <w:t xml:space="preserve">      &lt;list class="unordered"&gt;</w:t>
        <w:br/>
        <w:t xml:space="preserve">        &lt;list_text&gt;&lt;marker&gt;•&lt;/marker&gt;Ingest&lt;/list_text&gt;</w:t>
        <w:br/>
        <w:t xml:space="preserve">        &lt;list_text&gt;&lt;marker&gt;•&lt;/marker&gt;Process&lt;/list_text&gt;</w:t>
        <w:br/>
        <w:t xml:space="preserve">        &lt;list_text&gt;&lt;marker&gt;•&lt;/marker&gt;Export&lt;/list_text&gt;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&lt;otsl&gt;</w:t>
        <w:br/>
        <w:t xml:space="preserve">          &lt;ched/&gt;Key&lt;ched/&gt;Value&lt;nl/&gt;</w:t>
        <w:br/>
        <w:t xml:space="preserve">          &lt;fcel/&gt;A&lt;fcel/&gt;1&lt;nl/&gt;</w:t>
        <w:br/>
        <w:t xml:space="preserve">          &lt;fcel/&gt;B&lt;fcel/&gt;2&lt;nl/&gt;</w:t>
        <w:br/>
        <w:t xml:space="preserve">        &lt;/otsl&gt;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&lt;caption&gt;Example image inside a cell&lt;/caption&gt;</w:t>
        <w:br/>
        <w:t xml:space="preserve">      &lt;/picture&gt;</w:t>
        <w:br/>
        <w:t xml:space="preserve">    &lt;nl/&gt;</w:t>
        <w:br/>
        <w:t xml:space="preserve">  &lt;/otsl&gt;</w:t>
        <w:br/>
        <w:t>&lt;/group&gt;</w:t>
      </w:r>
    </w:p>
    <w:p>
      <w:r>
        <w:t>Notes</w:t>
      </w:r>
    </w:p>
    <w:p>
      <w:pPr>
        <w:pStyle w:val="ListBullet"/>
        <w:ind w:left="360" w:hanging="360"/>
      </w:pPr>
      <w:r>
        <w:t xml:space="preserve">Coordinates go on </w:t>
      </w:r>
      <w:r>
        <w:rPr>
          <w:rFonts w:ascii="Consolas" w:hAnsi="Consolas"/>
          <w:shd w:val="clear" w:color="auto" w:fill="F2F2F2"/>
        </w:rPr>
        <w:t>otsl</w:t>
      </w:r>
      <w:r>
        <w:t xml:space="preserve">, </w:t>
      </w:r>
      <w:r>
        <w:rPr>
          <w:rFonts w:ascii="Consolas" w:hAnsi="Consolas"/>
          <w:shd w:val="clear" w:color="auto" w:fill="F2F2F2"/>
        </w:rPr>
        <w:t>caption</w:t>
      </w:r>
      <w:r>
        <w:t xml:space="preserve">, and other semantic children; never on the </w:t>
      </w:r>
      <w:r>
        <w:rPr>
          <w:rFonts w:ascii="Consolas" w:hAnsi="Consolas"/>
          <w:shd w:val="clear" w:color="auto" w:fill="F2F2F2"/>
        </w:rPr>
        <w:t>group</w:t>
      </w:r>
      <w:r>
        <w:t>.</w:t>
      </w:r>
    </w:p>
    <w:p>
      <w:pPr>
        <w:pStyle w:val="ListBullet"/>
        <w:ind w:left="360" w:hanging="360"/>
      </w:pPr>
      <w:r>
        <w:t xml:space="preserve">Row- and column-wise splits use </w:t>
      </w:r>
      <w:r>
        <w:rPr>
          <w:rFonts w:ascii="Consolas" w:hAnsi="Consolas"/>
          <w:shd w:val="clear" w:color="auto" w:fill="F2F2F2"/>
        </w:rPr>
        <w:t>continue_row</w:t>
      </w:r>
      <w:r>
        <w:t xml:space="preserve"> and </w:t>
      </w:r>
      <w:r>
        <w:rPr>
          <w:rFonts w:ascii="Consolas" w:hAnsi="Consolas"/>
          <w:shd w:val="clear" w:color="auto" w:fill="F2F2F2"/>
        </w:rPr>
        <w:t>continue_col</w:t>
      </w:r>
      <w:r>
        <w:t xml:space="preserve"> respectively; merge fragments by matching </w:t>
      </w:r>
      <w:r>
        <w:rPr>
          <w:rFonts w:ascii="Consolas" w:hAnsi="Consolas"/>
          <w:shd w:val="clear" w:color="auto" w:fill="F2F2F2"/>
        </w:rPr>
        <w:t>id</w:t>
      </w:r>
      <w:r>
        <w:t>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Rich cells can include any valid DocLang content; keep content immediately after the corresponding cell token.</w:t>
      </w:r>
    </w:p>
    <w:p>
      <w:pPr>
        <w:pStyle w:val="Heading3"/>
      </w:pPr>
      <w:r>
        <w:t>Lists</w:t>
      </w:r>
    </w:p>
    <w:p>
      <w:r>
        <w:t xml:space="preserve">Lists can in principle contain any children, with every new list item being introduced by a </w:t>
      </w:r>
      <w:r>
        <w:rPr>
          <w:rFonts w:ascii="Consolas" w:hAnsi="Consolas"/>
          <w:shd w:val="clear" w:color="auto" w:fill="F2F2F2"/>
        </w:rPr>
        <w:t>list_text</w:t>
      </w:r>
      <w:r>
        <w:t xml:space="preserve"> element, which also contains any marker and checkbox information.</w:t>
      </w:r>
    </w:p>
    <w:p>
      <w:r>
        <w:t>Unordered list with optional markers</w:t>
      </w:r>
    </w:p>
    <w:p>
      <w:pPr>
        <w:shd w:val="clear" w:color="auto" w:fill="F2F2F2"/>
      </w:pPr>
      <w:r>
        <w:rPr>
          <w:rFonts w:ascii="Consolas" w:hAnsi="Consolas"/>
          <w:sz w:val="18"/>
        </w:rPr>
        <w:t>&lt;list class="unordered"&gt;</w:t>
        <w:br/>
        <w:t xml:space="preserve">  &lt;list_text&gt;</w:t>
        <w:br/>
        <w:t xml:space="preserve">    &lt;marker&gt;•&lt;/marker&gt;</w:t>
        <w:br/>
        <w:t xml:space="preserve">    First item with &lt;bold&gt;bold&lt;/bold&gt; text</w:t>
        <w:br/>
        <w:t xml:space="preserve">  &lt;/list_text&gt;</w:t>
        <w:br/>
        <w:t xml:space="preserve">  &lt;list_text&gt;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Second item</w:t>
        <w:br/>
        <w:t xml:space="preserve">  &lt;/list_text&gt;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&lt;list_text&gt;</w:t>
        <w:br/>
        <w:t xml:space="preserve">    &lt;marker&gt;1.&lt;/marker&gt;</w:t>
        <w:br/>
        <w:t xml:space="preserve">    Install dependencies</w:t>
        <w:br/>
        <w:t xml:space="preserve">  &lt;/list_text&gt;</w:t>
        <w:br/>
        <w:t xml:space="preserve">  &lt;list_text&gt;</w:t>
        <w:br/>
        <w:t xml:space="preserve">    &lt;marker&gt;2.&lt;/marker&gt;</w:t>
        <w:br/>
        <w:t xml:space="preserve">    Run tests</w:t>
        <w:br/>
        <w:t xml:space="preserve">  &lt;/list_text&gt;</w:t>
        <w:br/>
        <w:t xml:space="preserve">  &lt;list_text&gt;</w:t>
        <w:br/>
        <w:t xml:space="preserve">    &lt;!-- No marker provided; numbering can be inferred from order --&gt;</w:t>
        <w:br/>
        <w:t xml:space="preserve">    Ship release</w:t>
        <w:br/>
        <w:t xml:space="preserve">  &lt;/list_text&gt;</w:t>
        <w:br/>
        <w:t>&lt;/list&gt;</w:t>
      </w:r>
    </w:p>
    <w:p>
      <w:r>
        <w:t>Checkbox items with selection state; markers optional</w:t>
      </w:r>
    </w:p>
    <w:p>
      <w:pPr>
        <w:shd w:val="clear" w:color="auto" w:fill="F2F2F2"/>
      </w:pPr>
      <w:r>
        <w:rPr>
          <w:rFonts w:ascii="Consolas" w:hAnsi="Consolas"/>
          <w:sz w:val="18"/>
        </w:rPr>
        <w:t>&lt;list class="unordered"&gt;</w:t>
        <w:br/>
        <w:t xml:space="preserve">  &lt;list_text&gt;</w:t>
        <w:br/>
        <w:t xml:space="preserve">    &lt;checkbox class="selected"/&gt;</w:t>
        <w:br/>
        <w:t xml:space="preserve">    Completed task</w:t>
        <w:br/>
        <w:t xml:space="preserve">  &lt;/list_text&gt;</w:t>
        <w:br/>
        <w:t xml:space="preserve">  &lt;list_text&gt;</w:t>
        <w:br/>
        <w:t xml:space="preserve">    &lt;checkbox class="unselected"/&gt;</w:t>
        <w:br/>
        <w:t xml:space="preserve">    Pending task</w:t>
        <w:br/>
        <w:t xml:space="preserve">  &lt;/list_text&gt;</w:t>
        <w:br/>
        <w:t>&lt;/list&gt;</w:t>
      </w:r>
    </w:p>
    <w:p>
      <w:r>
        <w:t>Nested lists (mixing ordered and unordered)</w:t>
      </w:r>
    </w:p>
    <w:p>
      <w:pPr>
        <w:shd w:val="clear" w:color="auto" w:fill="F2F2F2"/>
      </w:pPr>
      <w:r>
        <w:rPr>
          <w:rFonts w:ascii="Consolas" w:hAnsi="Consolas"/>
          <w:sz w:val="18"/>
        </w:rPr>
        <w:t>&lt;list class="ordered"&gt;</w:t>
        <w:br/>
        <w:t xml:space="preserve">  &lt;list_text&gt;</w:t>
        <w:br/>
        <w:t xml:space="preserve">    &lt;marker&gt;1.&lt;/marker&gt;</w:t>
        <w:br/>
        <w:t xml:space="preserve">    Setup project</w:t>
        <w:br/>
        <w:t xml:space="preserve">  &lt;/list_text&gt;</w:t>
        <w:br/>
        <w:t xml:space="preserve">  &lt;list class="unordered"&gt;</w:t>
        <w:br/>
        <w:t xml:space="preserve">    &lt;list_text&gt;</w:t>
        <w:br/>
        <w:t xml:space="preserve">      &lt;marker&gt;•&lt;/marker&gt;</w:t>
        <w:br/>
        <w:t xml:space="preserve">      Create virtual environment</w:t>
        <w:br/>
        <w:t xml:space="preserve">    &lt;/list_text&gt;</w:t>
        <w:br/>
        <w:t xml:space="preserve">    &lt;list_text&gt;</w:t>
        <w:br/>
        <w:t xml:space="preserve">      &lt;marker&gt;•&lt;/marker&gt;</w:t>
        <w:br/>
        <w:t xml:space="preserve">      Configure linter</w:t>
        <w:br/>
        <w:t xml:space="preserve">    &lt;/list_text&gt;</w:t>
        <w:br/>
        <w:t xml:space="preserve">  &lt;/list&gt;</w:t>
        <w:br/>
        <w:t xml:space="preserve">  &lt;list_text&gt;</w:t>
        <w:br/>
        <w:t xml:space="preserve">    &lt;marker&gt;2.&lt;/marker&gt;</w:t>
        <w:br/>
        <w:t xml:space="preserve">    Implement features</w:t>
        <w:br/>
        <w:t xml:space="preserve">  &lt;/list_text&gt;</w:t>
        <w:br/>
        <w:t>&lt;/list&gt;</w:t>
      </w:r>
    </w:p>
    <w:p>
      <w:r>
        <w:t>Page breaks and continuation</w:t>
      </w:r>
    </w:p>
    <w:p>
      <w:r>
        <w:t xml:space="preserve">Lists can span multiple pages. Use </w:t>
      </w:r>
      <w:r>
        <w:rPr>
          <w:rFonts w:ascii="Consolas" w:hAnsi="Consolas"/>
          <w:shd w:val="clear" w:color="auto" w:fill="F2F2F2"/>
        </w:rPr>
        <w:t>&lt;thread 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id="L1"/&gt;</w:t>
        <w:br/>
        <w:t xml:space="preserve">  &lt;list_text&gt;&lt;marker&gt;1.&lt;/marker&gt;First item&lt;/list_text&gt;</w:t>
        <w:br/>
        <w:t xml:space="preserve">  &lt;list_text&gt;&lt;marker&gt;2.&lt;/marker&gt;Second item&lt;/list_text&gt;</w:t>
        <w:br/>
        <w:t>&lt;/list&gt;</w:t>
        <w:br/>
        <w:t>&lt;page_break/&gt;</w:t>
        <w:br/>
        <w:t>&lt;list class="ordered"&gt;</w:t>
        <w:br/>
        <w:t xml:space="preserve">  &lt;thread id="L1"/&gt;</w:t>
        <w:br/>
        <w:t xml:space="preserve">  &lt;list_text&gt;&lt;marker&gt;3.&lt;/marker&gt;Third item&lt;/list_text&gt;</w:t>
        <w:br/>
        <w:t>&lt;/list&gt;</w:t>
      </w:r>
    </w:p>
    <w:p>
      <w:r>
        <w:t>Single list-item broken by a page break</w:t>
      </w:r>
    </w:p>
    <w:p>
      <w:pPr>
        <w:shd w:val="clear" w:color="auto" w:fill="F2F2F2"/>
      </w:pPr>
      <w:r>
        <w:rPr>
          <w:rFonts w:ascii="Consolas" w:hAnsi="Consolas"/>
          <w:sz w:val="18"/>
        </w:rPr>
        <w:t>&lt;list class="unordered"&gt;</w:t>
        <w:br/>
        <w:t xml:space="preserve">  &lt;thread id="L2"/&gt;</w:t>
        <w:br/>
        <w:t xml:space="preserve">  &lt;list_text&gt;</w:t>
        <w:br/>
        <w:t xml:space="preserve">    &lt;thread id="I7"/&gt;</w:t>
        <w:br/>
        <w:t xml:space="preserve">    &lt;marker&gt;•&lt;/marker&gt;</w:t>
        <w:br/>
        <w:t xml:space="preserve">    This item starts on page 1 and continues</w:t>
        <w:br/>
        <w:t xml:space="preserve">  &lt;/list_text&gt;</w:t>
        <w:br/>
        <w:t>&lt;/list&gt;</w:t>
        <w:br/>
        <w:t>&lt;page_break/&gt;</w:t>
        <w:br/>
        <w:t>&lt;list class="unordered"&gt;</w:t>
        <w:br/>
        <w:t xml:space="preserve">  &lt;thread id="L2"/&gt;</w:t>
        <w:br/>
        <w:t xml:space="preserve">  &lt;list_text&gt;</w:t>
        <w:br/>
        <w:t xml:space="preserve">    &lt;thread id="I7"/&gt;</w:t>
        <w:br/>
        <w:t xml:space="preserve">    on page 2 until it ends.</w:t>
        <w:br/>
        <w:t xml:space="preserve">  &lt;/list_text&gt;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6"/>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7"/>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8"/>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9"/>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20"/>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21"/>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&lt;otsl&gt;</w:t>
        <w:br/>
        <w:t xml:space="preserve">      &lt;ched/&gt;IP Address&lt;ched/&gt;Port&lt;ched/&gt;Service&lt;ched/&gt;Version&lt;nl/&gt;</w:t>
        <w:br/>
        <w:t xml:space="preserve">      &lt;fcell/&gt;10.0.0.101&lt;fcell/&gt;80/tcp, 8088/tcp&lt;fcell/&gt;Werkzeug&lt;fcell/&gt;3.0.1&lt;nl/&gt;</w:t>
        <w:br/>
        <w:t xml:space="preserve">      &lt;fcell/&gt;10.0.0.102&lt;fcell/&gt;80/tcp, 8088/tcp&lt;fcell/&gt;Werkzeug&lt;fcell/&gt;3.0.1&lt;nl/&gt;</w:t>
        <w:br/>
        <w:t xml:space="preserve">      &lt;fcell/&gt;10.0.0.103&lt;fcell/&gt;80/tcp, 8088/tcp&lt;fcell/&gt;Werkzeug&lt;fcell/&gt;3.0.1&lt;nl/&gt;</w:t>
        <w:br/>
        <w:t xml:space="preserve">      &lt;/otsl&gt;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2"/>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3"/>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4"/>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5"/>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&lt;otsl&gt;</w:t>
        <w:br/>
        <w:t xml:space="preserve">  &lt;srow&gt;Beiträge zur Altersvorsorge&lt;srow&gt;52&lt;/lcel&gt;&lt;/srow&gt;&lt;nl&gt;</w:t>
        <w:br/>
        <w:t xml:space="preserve">  &lt;fcel/&gt;&lt;ched/&gt;Steuerpflichtige Person / Ehemann / Person A&lt;ched/&gt;Ehefrau / Person B&lt;fcel/&gt; &lt;nl&gt;</w:t>
        <w:br/>
        <w:t xml:space="preserve">  &lt;fcel/&gt;Arbeitnehmeranteil laut Nr. 23 a / b der Lohnsteuerbescheinigung&lt;fcel/&gt;*FORM1*,-&lt;fcel/&gt;*FORM2*,-&lt;fcel/&gt;@&lt;nl&gt;</w:t>
        <w:br/>
        <w:t xml:space="preserve">  &lt;fcel/&gt;Beiträge zur landwirtschaftlichen Alterskasse; zu berufsständ...&lt;fcel/&gt;*FORM3*,-&lt;fcel/&gt;*FORM4*,-&lt;fcel/&gt; &lt;nl&gt;</w:t>
        <w:br/>
        <w:t xml:space="preserve">  &lt;fcel/&gt;Beiträge zu gesetzlichen Rentenversicherungen...&lt;fcel/&gt;*FORM5*,-&lt;fcel/&gt;*FORM6*,-&lt;fcel/&gt; &lt;nl&gt;</w:t>
        <w:br/>
        <w:t xml:space="preserve">  &lt;fcel/&gt;Erstattete Beiträge und / oder steuerfreie Zuschüsse zu den...&lt;fcel/&gt;*FORM7*,-&lt;fcel/&gt;*FORM8*,-&lt;fcel/&gt;@&lt;nl&gt;</w:t>
        <w:br/>
        <w:t xml:space="preserve">  ...</w:t>
        <w:br/>
        <w:t xml:space="preserve">  &lt;/otsl&gt;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6"/>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&lt;otsl&gt;</w:t>
        <w:br/>
        <w:t xml:space="preserve">  &lt;ched/&gt;If you checked (in Part l):&lt;ched/&gt;Enter&lt;nl&gt;</w:t>
        <w:br/>
        <w:t xml:space="preserve">  &lt;fcel/&gt;Box 1, 2, 4, or 7&lt;fcel/&gt;$5,000&lt;nl&gt;</w:t>
        <w:br/>
        <w:t xml:space="preserve">  &lt;fcel/&gt;Box 3, 5, or 6&lt;fcel/&gt;$7,500&lt;nl&gt;</w:t>
        <w:br/>
        <w:t xml:space="preserve">  &lt;fcel/&gt;Box 8 or 9&lt;fcel/&gt;$3,750&lt;nl&gt;</w:t>
        <w:br/>
        <w:t xml:space="preserve">  &lt;/otsl&gt;</w:t>
        <w:br/>
        <w:t xml:space="preserve">  &lt;field_item&gt;&lt;key&gt;10&lt;/key&gt;&lt;value&gt;&lt;/value&gt;&lt;/field_item&gt;</w:t>
        <w:br/>
        <w:t xml:space="preserve">  &lt;text&gt;11 If you checked (in Part I):&lt;/text&gt;</w:t>
        <w:br/>
        <w:t xml:space="preserve">  &lt;list class="unordered"&gt;</w:t>
        <w:br/>
        <w:t xml:space="preserve">      &lt;list_text&gt;Box 6, add $5,000 to the taxable...&lt;/list_text&gt;</w:t>
        <w:br/>
        <w:t xml:space="preserve">      &lt;list_text&gt;Box 2, 4, or 9, enter your taxable...&lt;/list_text&gt;</w:t>
        <w:br/>
        <w:t xml:space="preserve">      &lt;list_text&gt;BBox 5, add your taxable disabilit...&lt;/list_text&gt;</w:t>
        <w:br/>
        <w:t xml:space="preserve">  &lt;/list&gt;</w:t>
        <w:br/>
        <w:t xml:space="preserve">  &lt;field_item&gt;&lt;key&gt;11&lt;/key&gt;&lt;value&gt;.&lt;/value&gt;&lt;/field_item&gt;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&lt;field_item&gt;&lt;key&gt;12&lt;/key&gt;&lt;value&gt;74,992&lt;/value&gt;&lt;/field_item&gt;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7"/>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8">
        <w:r>
          <w:rPr>
            <w:rStyle w:val="Hyperlink"/>
          </w:rPr>
          <w:t>Form Examples</w:t>
        </w:r>
      </w:hyperlink>
    </w:p>
    <w:p>
      <w:pPr>
        <w:pStyle w:val="Heading3"/>
      </w:pPr>
      <w:r>
        <w:t>Fields</w:t>
      </w:r>
    </w:p>
    <w:p>
      <w:r>
        <w:t>Fields can be used for representing key-value data in a flexible structure where keys and values may be separated by other content or organized in complex layouts.</w:t>
      </w:r>
    </w:p>
    <w:p>
      <w:pPr>
        <w:pStyle w:val="Heading4"/>
      </w:pPr>
      <w:r>
        <w:t>Field Elements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field_region</w:t>
            </w:r>
          </w:p>
        </w:tc>
        <w:tc>
          <w:tcPr>
            <w:tcW w:type="dxa" w:w="4320"/>
          </w:tcPr>
          <w:p>
            <w:r/>
            <w:r>
              <w:t>Container for a region containing field items and related content</w:t>
            </w:r>
          </w:p>
        </w:tc>
      </w:tr>
      <w:tr>
        <w:tc>
          <w:tcPr>
            <w:tcW w:type="dxa" w:w="4320"/>
          </w:tcPr>
          <w:p>
            <w:r/>
            <w:r>
              <w:rPr>
                <w:rFonts w:ascii="Consolas" w:hAnsi="Consolas"/>
                <w:shd w:val="clear" w:color="auto" w:fill="F2F2F2"/>
              </w:rPr>
              <w:t>field_item</w:t>
            </w:r>
          </w:p>
        </w:tc>
        <w:tc>
          <w:tcPr>
            <w:tcW w:type="dxa" w:w="4320"/>
          </w:tcPr>
          <w:p>
            <w:r/>
            <w:r>
              <w:t xml:space="preserve">Container that associates keys with values;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field_heading</w:t>
            </w:r>
          </w:p>
        </w:tc>
        <w:tc>
          <w:tcPr>
            <w:tcW w:type="dxa" w:w="4320"/>
          </w:tcPr>
          <w:p>
            <w:r/>
            <w:r>
              <w:t>Heading within a field region, with optional level N ≥ 1</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Heading4"/>
      </w:pPr>
      <w:r>
        <w:t>Field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&lt;list_text&gt;&lt;marker&gt;•&lt;/marker&gt;&lt;value&gt;Aluminum alloy frame&lt;/value&gt;&lt;/list_text&gt;</w:t>
        <w:br/>
        <w:t xml:space="preserve">      &lt;list_text&gt;&lt;marker&gt;•&lt;/marker&gt;&lt;value&gt;Tempered glass display&lt;/value&gt;&lt;/list_text&gt;</w:t>
        <w:br/>
        <w:t xml:space="preserve">      &lt;list_text&gt;&lt;marker&gt;•&lt;/marker&gt;&lt;value&gt;Silicone rubber grips&lt;/value&gt;&lt;/list_text&gt;</w:t>
        <w:br/>
        <w:t xml:space="preserve">    &lt;/list&gt;</w:t>
        <w:br/>
        <w:t xml:space="preserve">  &lt;/field_item&gt;</w:t>
        <w:br/>
        <w:t>&lt;/field_region&gt;</w:t>
      </w:r>
    </w:p>
    <w:p>
      <w:pPr>
        <w:pStyle w:val="Heading3"/>
      </w:pPr>
      <w:r>
        <w:t>Split structure</w:t>
      </w:r>
    </w:p>
    <w:p>
      <w:r>
        <w:t xml:space="preserve">We can capture content that is split (e.g. across columns or across pages) using the </w:t>
      </w:r>
      <w:r>
        <w:rPr>
          <w:rFonts w:ascii="Consolas" w:hAnsi="Consolas"/>
          <w:shd w:val="clear" w:color="auto" w:fill="F2F2F2"/>
        </w:rPr>
        <w:t>&lt;thread 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id="1"/&gt;</w:t>
        <w:br/>
        <w:t xml:space="preserve">  This text item starts here</w:t>
        <w:br/>
        <w:t>&lt;/text&gt;</w:t>
        <w:br/>
        <w:t>...</w:t>
        <w:br/>
        <w:t>&lt;text&gt;</w:t>
        <w:br/>
        <w:t xml:space="preserve">  &lt;thread 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9"/>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&lt;loc_10/&gt;&lt;loc_20/&gt;&lt;loc_30/&gt;&lt;loc_40/&gt;</w:t>
        <w:br/>
        <w:t xml:space="preserve">    &lt;thread id="1"/&gt;</w:t>
        <w:br/>
        <w:t xml:space="preserve">    where τ&lt;subscript&gt;x,y,z&lt;/subscript&gt; are the Pauli matrices acting</w:t>
        <w:br/>
        <w:t xml:space="preserve">    on Nambu space. We consider a circular-shaped boundary, the nor-</w:t>
        <w:br/>
        <w:t>&lt;/text&gt;</w:t>
        <w:br/>
        <w:t/>
        <w:br/>
        <w:t>&lt;caption&gt;</w:t>
        <w:br/>
        <w:t xml:space="preserve">    &lt;loc_15/&gt;&lt;loc_25/&gt;&lt;loc_35/&gt;&lt;loc_45/&gt;</w:t>
        <w:br/>
        <w:t xml:space="preserve">    FIG. 3. The modules of the inner product of two MES spinors</w:t>
        <w:br/>
        <w:t xml:space="preserve">    &lt;formula&gt;...&lt;formula/&gt;</w:t>
        <w:br/>
        <w:t xml:space="preserve">    ...</w:t>
        <w:br/>
        <w:t>&lt;/caption&gt;</w:t>
        <w:br/>
        <w:t/>
        <w:br/>
        <w:t>&lt;text&gt;</w:t>
        <w:br/>
        <w:t xml:space="preserve">    &lt;loc_20/&gt;&lt;loc_30/&gt;&lt;loc_40/&gt;&lt;loc_50/&gt;</w:t>
        <w:br/>
        <w:t xml:space="preserve">    &lt;thread id="1"/&gt;</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30"/>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&lt;loc_10/&gt;&lt;loc_20/&gt;&lt;loc_30/&gt;&lt;loc_40/&gt;</w:t>
        <w:br/>
        <w:t xml:space="preserve">    Our multi-faceted DE&amp;I program includes the following initiatives:</w:t>
        <w:br/>
        <w:t>&lt;/text&gt;</w:t>
        <w:br/>
        <w:t/>
        <w:br/>
        <w:t>&lt;list class="unordered"&gt;</w:t>
        <w:br/>
        <w:t xml:space="preserve">    &lt;thread id="1"/&gt;</w:t>
        <w:br/>
        <w:t xml:space="preserve">    &lt;list_text&gt;</w:t>
        <w:br/>
        <w:t xml:space="preserve">        &lt;loc_15/&gt;&lt;loc_25/&gt;&lt;loc_35/&gt;&lt;loc_45/&gt;</w:t>
        <w:br/>
        <w:t xml:space="preserve">        Mentorships and internship programs featuring diverse employees and students</w:t>
        <w:br/>
        <w:t xml:space="preserve">    &lt;/list_text&gt;</w:t>
        <w:br/>
        <w:t xml:space="preserve">    ...</w:t>
        <w:br/>
        <w:t xml:space="preserve">    &lt;list_text&gt;</w:t>
        <w:br/>
        <w:t xml:space="preserve">        &lt;loc_20/&gt;&lt;loc_30/&gt;&lt;loc_40/&gt;&lt;loc_50/&gt;</w:t>
        <w:br/>
        <w:t xml:space="preserve">        Build Science, Technology, Engineering and Mathematics (STEM) employee candidate pipeline via involvement with:</w:t>
        <w:br/>
        <w:t xml:space="preserve">        &lt;list class="unordered"&gt;</w:t>
        <w:br/>
        <w:t xml:space="preserve">            &lt;list_text&gt;</w:t>
        <w:br/>
        <w:t xml:space="preserve">                &lt;loc_25/&gt;&lt;loc_35/&gt;&lt;loc_45/&gt;&lt;loc_55/&gt;</w:t>
        <w:br/>
        <w:t xml:space="preserve">                Historically Black Colleges and Universities (HBCUs) site visits and career fairs</w:t>
        <w:br/>
        <w:t xml:space="preserve">            &lt;/list_text&gt;</w:t>
        <w:br/>
        <w:t xml:space="preserve">            ...</w:t>
        <w:br/>
        <w:t xml:space="preserve">            &lt;list_text&gt;</w:t>
        <w:br/>
        <w:t xml:space="preserve">                &lt;loc_30/&gt;&lt;loc_40/&gt;&lt;loc_50/&gt;&lt;loc_60/&gt;</w:t>
        <w:br/>
        <w:t xml:space="preserve">                San Diego Squared (STEM-focused nonprofit organization connecting underrepresented student to the power</w:t>
        <w:br/>
        <w:t xml:space="preserve">                of STEM by providing access to education, mentorship and resources to develop STEM careers)</w:t>
        <w:br/>
        <w:t xml:space="preserve">            &lt;/list_text&gt;</w:t>
        <w:br/>
        <w:t xml:space="preserve">        &lt;list&gt;</w:t>
        <w:br/>
        <w:t xml:space="preserve">    &lt;/list_text&gt;</w:t>
        <w:br/>
        <w:t>&lt;list&gt;</w:t>
        <w:br/>
        <w:t/>
        <w:br/>
        <w:t>&lt;page_footer&gt;&lt;loc_35/&gt;&lt;loc_45/&gt;&lt;loc_55/&gt;&lt;loc_65/&gt;16 Neurocrine Biosciences&lt;/page_footer&gt;</w:t>
        <w:br/>
        <w:t/>
        <w:br/>
        <w:t>&lt;page_break/&gt;</w:t>
        <w:br/>
        <w:t/>
        <w:br/>
        <w:t>&lt;list class="unordered"&gt;</w:t>
        <w:br/>
        <w:t xml:space="preserve">    &lt;thread id="1"/&gt;</w:t>
        <w:br/>
        <w:t xml:space="preserve">    &lt;list_text&gt;</w:t>
        <w:br/>
        <w:t xml:space="preserve">        &lt;loc_40/&gt;&lt;loc_50/&gt;&lt;loc_60/&gt;&lt;loc_70/&gt;</w:t>
        <w:br/>
        <w:t xml:space="preserve">        Build upon DE&amp;I employee education initiatives including:</w:t>
        <w:br/>
        <w:t xml:space="preserve">        ...</w:t>
        <w:br/>
        <w:t xml:space="preserve">    &lt;/list_text&gt;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 &lt;br /&gt; &lt;img src="./examples/split_tables/original_table.png" height="900" width="644" /&gt; &lt;/td&gt; &lt;td&gt; Table split across pages: &lt;br /&gt; &lt;img src="./examples/split_tables/split_table.png" height="900" width="644" /&gt; &lt;/td&gt; &lt;td&gt; Table threads: &lt;br /&gt; &lt;img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&lt;otsl&gt;&lt;loc_x0/&gt;&lt;loc_y0/&gt;&lt;loc_x1/&gt;&lt;loc_y1/&gt;</w:t>
        <w:br/>
        <w:t xml:space="preserve">        &lt;thread id="1"/&gt;</w:t>
        <w:br/>
        <w:t xml:space="preserve">        &lt;h_thread id="1"/&gt;</w:t>
        <w:br/>
        <w:t/>
        <w:br/>
        <w:t xml:space="preserve">        &lt;ecel/&gt;                             &lt;ecel/&gt;                      &lt;ecel/&gt;&lt;nl/&gt;</w:t>
        <w:br/>
        <w:t xml:space="preserve">        &lt;ecel/&gt;                             &lt;ched/&gt;Continent             &lt;ched/&gt;Country&lt;nl/&gt;</w:t>
        <w:br/>
        <w:t xml:space="preserve">        &lt;rhed/&gt;&lt;thread id="2"/&gt;             &lt;rhed/&gt;Asia                  &lt;rhed/&gt;Japan&lt;nl/&gt;</w:t>
        <w:br/>
        <w:t xml:space="preserve">    &lt;/otsl&gt;</w:t>
        <w:br/>
        <w:t>&lt;/table&gt;</w:t>
        <w:br/>
        <w:t>&lt;page_break/&gt;</w:t>
        <w:br/>
        <w:t/>
        <w:br/>
        <w:t>&lt;!-- page 2: --&gt;</w:t>
        <w:br/>
        <w:t>&lt;table&gt;</w:t>
        <w:br/>
        <w:t xml:space="preserve">    &lt;otsl&gt;&lt;loc_x0/&gt;&lt;loc_y0/&gt;&lt;loc_x1/&gt;&lt;loc_y1/&gt;</w:t>
        <w:br/>
        <w:t xml:space="preserve">        &lt;thread id="1"/&gt;</w:t>
        <w:br/>
        <w:t xml:space="preserve">        &lt;h_thread id="2"/&gt;</w:t>
        <w:br/>
        <w:t/>
        <w:br/>
        <w:t xml:space="preserve">        &lt;rhed/&gt;&lt;thread id="2"/&gt;G7 member    &lt;rhed/&gt;&lt;thread id="3"/&gt;Europe        &lt;rhed/&gt;France&lt;nl/&gt;</w:t>
        <w:br/>
        <w:t xml:space="preserve">        &lt;ucel/&gt;                             &lt;ucel/&gt;                            &lt;rhed/&gt;Germany&lt;nl/&gt;</w:t>
        <w:br/>
        <w:t xml:space="preserve">        &lt;ucel/&gt;                             &lt;ucel/&gt;                            &lt;rhed/&gt;Italy&lt;nl/&gt;</w:t>
        <w:br/>
        <w:t xml:space="preserve">    &lt;/otsl&gt;</w:t>
        <w:br/>
        <w:t>&lt;/table&gt;</w:t>
        <w:br/>
        <w:t>&lt;page_break/&gt;</w:t>
        <w:br/>
        <w:t/>
        <w:br/>
        <w:t>&lt;!-- page 3: --&gt;</w:t>
        <w:br/>
        <w:t>&lt;table&gt;</w:t>
        <w:br/>
        <w:t xml:space="preserve">    &lt;otsl&gt;&lt;loc_x0/&gt;&lt;loc_y0/&gt;&lt;loc_x1/&gt;&lt;loc_y1/&gt;</w:t>
        <w:br/>
        <w:t xml:space="preserve">        &lt;thread id="1"/&gt;</w:t>
        <w:br/>
        <w:t xml:space="preserve">        &lt;h_thread id="3"/&gt;</w:t>
        <w:br/>
        <w:t/>
        <w:br/>
        <w:t xml:space="preserve">        &lt;rhed/&gt;&lt;thread id="2"/&gt;             &lt;rhed/&gt;&lt;thread id="3"/&gt;            &lt;rhed/&gt;United Kingdom&lt;nl/&gt;</w:t>
        <w:br/>
        <w:t xml:space="preserve">        &lt;ucel/&gt;                             &lt;rhed/&gt;North America               &lt;rhed/&gt;Canada&lt;nl/&gt;</w:t>
        <w:br/>
        <w:t xml:space="preserve">        &lt;ucel/&gt;                             &lt;ucel/&gt;                            &lt;rhed/&gt;United States&lt;nl/&gt;</w:t>
        <w:br/>
        <w:t xml:space="preserve">    &lt;/otsl&gt;</w:t>
        <w:br/>
        <w:t>&lt;/table&gt;</w:t>
        <w:br/>
        <w:t>&lt;page_break/&gt;</w:t>
        <w:br/>
        <w:t/>
        <w:br/>
        <w:t>&lt;!-- page 4: --&gt;</w:t>
        <w:br/>
        <w:t>&lt;table&gt;</w:t>
        <w:br/>
        <w:t xml:space="preserve">    &lt;otsl&gt;&lt;loc_x0/&gt;&lt;loc_y0/&gt;&lt;loc_x1/&gt;&lt;loc_y1/&gt;</w:t>
        <w:br/>
        <w:t xml:space="preserve">        &lt;h_thread id="1"/&gt;</w:t>
        <w:br/>
        <w:t/>
        <w:br/>
        <w:t xml:space="preserve">        &lt;ched/&gt;&lt;h_thread id="4"/&gt;2025 d     &lt;lcel/&gt;                            &lt;lcel/&gt;&lt;nl/&gt;</w:t>
        <w:br/>
        <w:t xml:space="preserve">        &lt;ched/&gt;GDP (PPP) per capita in USD  &lt;ched/&gt;Currency                    &lt;ched/&gt;&lt;h_thread id="5"/&gt;Key l&lt;nl/&gt;</w:t>
        <w:br/>
        <w:t xml:space="preserve">        &lt;fcel/&gt;46,097                       &lt;fcel/&gt;Japanese yen (JPY)          &lt;fcel/&gt;Shigeru Ishiba&lt;nl/&gt;</w:t>
        <w:br/>
        <w:t xml:space="preserve">    &lt;/otsl&gt;</w:t>
        <w:br/>
        <w:t>&lt;/table&gt;</w:t>
        <w:br/>
        <w:t>&lt;page_break/&gt;</w:t>
        <w:br/>
        <w:t/>
        <w:br/>
        <w:t>&lt;!-- page 5: --&gt;</w:t>
        <w:br/>
        <w:t>&lt;table&gt;</w:t>
        <w:br/>
        <w:t xml:space="preserve">    &lt;otsl&gt;&lt;loc_x0/&gt;&lt;loc_y0/&gt;&lt;loc_x1/&gt;&lt;loc_y1/&gt;</w:t>
        <w:br/>
        <w:t xml:space="preserve">        &lt;h_thread id="2"/&gt;</w:t>
        <w:br/>
        <w:t/>
        <w:br/>
        <w:t xml:space="preserve">        &lt;fcel/&gt;54,465                       &lt;fcel/&gt;Euro (EUR)                  &lt;fcel/&gt;Emmanuel Macron&lt;nl/&gt;</w:t>
        <w:br/>
        <w:t xml:space="preserve">        &lt;fcel/&gt;62,830                       &lt;fcel/&gt;Euro (EUR)                  &lt;fcel/&gt;Friedrich Merz&lt;nl/&gt;</w:t>
        <w:br/>
        <w:t xml:space="preserve">        &lt;fcel/&gt;53,115                       &lt;fcel/&gt;Euro (EUR)                  &lt;fcel/&gt;Giorgia Meloni&lt;nl/&gt;</w:t>
        <w:br/>
        <w:t xml:space="preserve">    &lt;/otsl&gt;</w:t>
        <w:br/>
        <w:t>&lt;/table&gt;</w:t>
        <w:br/>
        <w:t>&lt;page_break/&gt;</w:t>
        <w:br/>
        <w:t/>
        <w:br/>
        <w:t>&lt;!-- page 6: --&gt;</w:t>
        <w:br/>
        <w:t>&lt;table&gt;</w:t>
        <w:br/>
        <w:t xml:space="preserve">    &lt;otsl&gt;&lt;loc_x0/&gt;&lt;loc_y0/&gt;&lt;loc_x1/&gt;&lt;loc_y1/&gt;</w:t>
        <w:br/>
        <w:t xml:space="preserve">        &lt;h_thread id="3"/&gt;</w:t>
        <w:br/>
        <w:t/>
        <w:br/>
        <w:t xml:space="preserve">        &lt;fcel/&gt;52,518                       &lt;fcel/&gt;Pound sterling (GBP)        &lt;fcel/&gt;Keir Starmer&lt;nl/&gt;</w:t>
        <w:br/>
        <w:t xml:space="preserve">        &lt;fcel/&gt;62,830                       &lt;fcel/&gt;Canadian dollar             &lt;fcel/&gt;Mark Carney&lt;nl/&gt;</w:t>
        <w:br/>
        <w:t xml:space="preserve">        &lt;fcel/&gt;53,115                       &lt;fcel/&gt;United States dollar (USD)  &lt;fcel/&gt;Donald Trump&lt;nl/&gt;</w:t>
        <w:br/>
        <w:t xml:space="preserve">    &lt;/otsl&gt;</w:t>
        <w:br/>
        <w:t>&lt;/table&gt;</w:t>
        <w:br/>
        <w:t>&lt;page_break/&gt;</w:t>
        <w:br/>
        <w:t/>
        <w:br/>
        <w:t>&lt;!-- page 7: --&gt;</w:t>
        <w:br/>
        <w:t>&lt;table&gt;</w:t>
        <w:br/>
        <w:t xml:space="preserve">    &lt;otsl&gt;&lt;loc_x0/&gt;&lt;loc_y0/&gt;&lt;loc_x1/&gt;&lt;loc_y1/&gt;</w:t>
        <w:br/>
        <w:t xml:space="preserve">        &lt;h_thread id="1"/&gt;</w:t>
        <w:br/>
        <w:t/>
        <w:br/>
        <w:t xml:space="preserve">        &lt;ched/&gt;&lt;h_thread id="4"/&gt;etails     &lt;lcel/&gt;                            &lt;lcel/&gt;&lt;nl/&gt;</w:t>
        <w:br/>
        <w:t xml:space="preserve">        &lt;ched/&gt;&lt;h_thread id="5"/&gt;eader      &lt;ched/&gt;Population in millions      &lt;ched/&gt;Area in km2&lt;nl/&gt;</w:t>
        <w:br/>
        <w:t xml:space="preserve">        &lt;fcel/&gt;Prime Minister               &lt;fcel/&gt;125.1                       &lt;fcel/&gt;377,975&lt;nl/&gt;</w:t>
        <w:br/>
        <w:t xml:space="preserve">    &lt;/otsl&gt;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id="1"/&gt;This paragraph spans across&lt;/text&gt;</w:t>
        <w:br/>
        <w:t xml:space="preserve">  &lt;caption&gt;Some caption&lt;/caption&gt;</w:t>
        <w:br/>
        <w:t xml:space="preserve">  &lt;page_break/&gt;</w:t>
        <w:br/>
        <w:t xml:space="preserve">  &lt;text&gt;&lt;thread 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id="1"/&gt;</w:t>
        <w:br/>
        <w:t xml:space="preserve">    &lt;list_text&gt;First item&lt;/list_text&gt;</w:t>
        <w:br/>
        <w:t xml:space="preserve">    &lt;list_text&gt;&lt;thread id="2"/&gt;Second &lt;/list_text&gt;</w:t>
        <w:br/>
        <w:t xml:space="preserve">    ...</w:t>
        <w:br/>
        <w:t xml:space="preserve">  &lt;/list&gt;</w:t>
        <w:br/>
        <w:t xml:space="preserve">  &lt;page_footer&gt;...&lt;/page_footer&gt;</w:t>
        <w:br/>
        <w:t xml:space="preserve">  &lt;page_break/&gt;</w:t>
        <w:br/>
        <w:t xml:space="preserve">  &lt;list class="ordered"&gt;</w:t>
        <w:br/>
        <w:t xml:space="preserve">    &lt;thread id="1"/&gt;</w:t>
        <w:br/>
        <w:t xml:space="preserve">    &lt;list_text&gt;&lt;thread id="2"/&gt;item&lt;/list_text&gt;</w:t>
        <w:br/>
        <w:t xml:space="preserve">  &lt;/list&gt;</w:t>
        <w:br/>
        <w:t xml:space="preserve">  ...</w:t>
        <w:br/>
        <w:t>&lt;/doclang&gt;</w:t>
      </w:r>
    </w:p>
    <w:p>
      <w:r>
        <w:t xml:space="preserve">Above, </w:t>
      </w:r>
      <w:r>
        <w:rPr>
          <w:rFonts w:ascii="Consolas" w:hAnsi="Consolas"/>
          <w:shd w:val="clear" w:color="auto" w:fill="F2F2F2"/>
        </w:rPr>
        <w:t>&lt;thread id="1"/&gt;</w:t>
      </w:r>
      <w:r>
        <w:t xml:space="preserve"> captures that the list itself is split, while </w:t>
      </w:r>
      <w:r>
        <w:rPr>
          <w:rFonts w:ascii="Consolas" w:hAnsi="Consolas"/>
          <w:shd w:val="clear" w:color="auto" w:fill="F2F2F2"/>
        </w:rPr>
        <w:t>&lt;thread id="2"/&gt;</w:t>
      </w:r>
      <w:r>
        <w:t xml:space="preserve"> captures that a particular list item is split.</w:t>
      </w:r>
    </w:p>
    <w:p>
      <w:r>
        <w:t xml:space="preserve">For tables that are broken across pages, we need to introduce two differnt tokens, namely the </w:t>
      </w:r>
      <w:r>
        <w:rPr>
          <w:rFonts w:ascii="Consolas" w:hAnsi="Consolas"/>
          <w:shd w:val="clear" w:color="auto" w:fill="F2F2F2"/>
        </w:rPr>
        <w:t>&lt;continue_col id=.../&gt;</w:t>
      </w:r>
      <w:r>
        <w:t xml:space="preserve"> and </w:t>
      </w:r>
      <w:r>
        <w:rPr>
          <w:rFonts w:ascii="Consolas" w:hAnsi="Consolas"/>
          <w:shd w:val="clear" w:color="auto" w:fill="F2F2F2"/>
        </w:rPr>
        <w:t>&lt;continue_row id="..."/&gt;</w:t>
      </w:r>
      <w:r>
        <w:t>. Same principle applies, if the OTSL starts/ends with any of these tokens, we know the the tables needs to be merged.</w:t>
      </w:r>
    </w:p>
    <w:p>
      <w:pPr>
        <w:pStyle w:val="Heading2"/>
      </w:pPr>
      <w:r>
        <w:t>Implementation Requirements</w:t>
      </w:r>
    </w:p>
    <w:p>
      <w:pPr>
        <w:pStyle w:val="Heading3"/>
      </w:pPr>
      <w:r>
        <w:t>Parser Requirements</w:t>
      </w:r>
    </w:p>
    <w:p>
      <w:r>
        <w:t>A conforming DocLang parser SHALL:</w:t>
      </w:r>
    </w:p>
    <w:p>
      <w:pPr>
        <w:pStyle w:val="ListNumber"/>
        <w:ind w:left="360" w:hanging="360"/>
      </w:pPr>
      <w:r>
        <w:rPr>
          <w:b/>
        </w:rPr>
        <w:t>Syntax Validation</w:t>
      </w:r>
      <w:r>
        <w:t>: Recognize all tokens defined in this standard</w:t>
      </w:r>
    </w:p>
    <w:p>
      <w:pPr>
        <w:pStyle w:val="ListNumber"/>
        <w:ind w:left="360" w:hanging="360"/>
      </w:pPr>
      <w:r>
        <w:rPr>
          <w:b/>
        </w:rPr>
        <w:t>Geometric Processing</w:t>
      </w:r>
      <w:r>
        <w:t>: Handle coordinate and bounding box elements correctly</w:t>
      </w:r>
    </w:p>
    <w:p>
      <w:pPr>
        <w:pStyle w:val="ListNumber"/>
        <w:ind w:left="360" w:hanging="360"/>
      </w:pPr>
      <w:r>
        <w:rPr>
          <w:b/>
        </w:rPr>
        <w:t>Version Support</w:t>
      </w:r>
      <w:r>
        <w:t>: Process version information and apply appropriate parsing rules</w:t>
      </w:r>
    </w:p>
    <w:p>
      <w:pPr>
        <w:pStyle w:val="ListNumber"/>
        <w:ind w:left="360" w:hanging="360"/>
      </w:pPr>
      <w:r>
        <w:rPr>
          <w:b/>
        </w:rPr>
        <w:t>Hierarchy Validation</w:t>
      </w:r>
      <w:r>
        <w:t>: Enforce parent-child relationship rules</w:t>
      </w:r>
    </w:p>
    <w:p>
      <w:pPr>
        <w:pStyle w:val="ListNumber"/>
        <w:ind w:left="360" w:hanging="360"/>
      </w:pPr>
      <w:r>
        <w:rPr>
          <w:b/>
        </w:rPr>
        <w:t>Continuation Handling</w:t>
      </w:r>
      <w:r>
        <w:t>: Correctly link continued content across page breaks</w:t>
      </w:r>
    </w:p>
    <w:p>
      <w:pPr>
        <w:pStyle w:val="ListNumber"/>
        <w:ind w:left="360" w:hanging="360"/>
      </w:pPr>
      <w:r>
        <w:rPr>
          <w:b/>
        </w:rPr>
        <w:t>Error Reporting</w:t>
      </w:r>
      <w:r>
        <w:t>: Provide meaningful error messages for invalid documents</w:t>
      </w:r>
    </w:p>
    <w:p>
      <w:pPr>
        <w:pStyle w:val="Heading3"/>
      </w:pPr>
      <w:r>
        <w:t>Serializer Requirements</w:t>
      </w:r>
    </w:p>
    <w:p>
      <w:r>
        <w:t>A conforming DocLang serializer SHALL:</w:t>
      </w:r>
    </w:p>
    <w:p>
      <w:pPr>
        <w:pStyle w:val="ListNumber"/>
        <w:ind w:left="360" w:hanging="360"/>
      </w:pPr>
      <w:r>
        <w:rPr>
          <w:b/>
        </w:rPr>
        <w:t>Valid Output</w:t>
      </w:r>
      <w:r>
        <w:t>: Generate syntactically correct DocLang documents</w:t>
      </w:r>
    </w:p>
    <w:p>
      <w:pPr>
        <w:pStyle w:val="ListNumber"/>
        <w:ind w:left="360" w:hanging="360"/>
      </w:pPr>
      <w:r>
        <w:rPr>
          <w:b/>
        </w:rPr>
        <w:t>Coordinate Normalization</w:t>
      </w:r>
      <w:r>
        <w:t>: Ensure coordinates fit within specified resolution</w:t>
      </w:r>
    </w:p>
    <w:p>
      <w:pPr>
        <w:pStyle w:val="ListNumber"/>
        <w:ind w:left="360" w:hanging="360"/>
      </w:pPr>
      <w:r>
        <w:rPr>
          <w:b/>
        </w:rPr>
        <w:t>Structure Preservation</w:t>
      </w:r>
      <w:r>
        <w:t>: Maintain element hierarchy and relationships</w:t>
      </w:r>
    </w:p>
    <w:p>
      <w:pPr>
        <w:pStyle w:val="ListNumber"/>
        <w:ind w:left="360" w:hanging="360"/>
      </w:pPr>
      <w:r>
        <w:rPr>
          <w:b/>
        </w:rPr>
        <w:t>Version Specification</w:t>
      </w:r>
      <w:r>
        <w:t>: Include appropriate version information</w:t>
      </w:r>
    </w:p>
    <w:p>
      <w:pPr>
        <w:pStyle w:val="ListNumber"/>
        <w:ind w:left="360" w:hanging="360"/>
      </w:pPr>
      <w:r>
        <w:rPr>
          <w:b/>
        </w:rPr>
        <w:t>Continuation Integrity</w:t>
      </w:r>
      <w:r>
        <w:t>: Ensure continuation tokens are properly paired</w:t>
      </w:r>
    </w:p>
    <w:p>
      <w:pPr>
        <w:pStyle w:val="Heading3"/>
      </w:pPr>
      <w:r>
        <w:t>Validation Rules</w:t>
      </w:r>
    </w:p>
    <w:p>
      <w:pPr>
        <w:pStyle w:val="Heading4"/>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&lt;otsl&gt;</w:t>
      </w:r>
      <w:r>
        <w:t xml:space="preserve"> elements</w:t>
      </w:r>
    </w:p>
    <w:p>
      <w:pPr>
        <w:pStyle w:val="ListBullet"/>
        <w:ind w:left="360" w:hanging="360"/>
      </w:pPr>
      <w:r>
        <w:t>Continuation tokens must be properly paired</w:t>
      </w:r>
    </w:p>
    <w:p>
      <w:pPr>
        <w:pStyle w:val="Heading4"/>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4"/>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4"/>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pPr>
        <w:pStyle w:val="Heading2"/>
      </w:pPr>
      <w:r>
        <w:t>Extensibility</w:t>
      </w:r>
    </w:p>
    <w:p>
      <w:pPr>
        <w:pStyle w:val="Heading3"/>
      </w:pPr>
      <w:r>
        <w:t>Future Token Addition</w:t>
      </w:r>
    </w:p>
    <w:p>
      <w:r>
        <w:t>New tokens may be added in minor version updates following these rules:</w:t>
      </w:r>
    </w:p>
    <w:p>
      <w:pPr>
        <w:pStyle w:val="ListNumber"/>
        <w:ind w:left="360" w:hanging="360"/>
      </w:pPr>
      <w:r>
        <w:t>New semantic tokens must specify content type (text or structural)</w:t>
      </w:r>
    </w:p>
    <w:p>
      <w:pPr>
        <w:pStyle w:val="ListNumber"/>
        <w:ind w:left="360" w:hanging="360"/>
      </w:pPr>
      <w:r>
        <w:t>New grouping tokens must define allowed children</w:t>
      </w:r>
    </w:p>
    <w:p>
      <w:pPr>
        <w:pStyle w:val="ListNumber"/>
        <w:ind w:left="360" w:hanging="360"/>
      </w:pPr>
      <w:r>
        <w:t>New structural tokens must specify usage context</w:t>
      </w:r>
    </w:p>
    <w:p>
      <w:pPr>
        <w:pStyle w:val="ListNumber"/>
        <w:ind w:left="360" w:hanging="360"/>
      </w:pPr>
      <w:r>
        <w:t>Backward compatibility must be maintained</w:t>
      </w:r>
    </w:p>
    <w:p>
      <w:pPr>
        <w:pStyle w:val="Heading3"/>
      </w:pPr>
      <w:r>
        <w:t>Custom Classifications</w:t>
      </w:r>
    </w:p>
    <w:p>
      <w:r>
        <w:t xml:space="preserve">The </w:t>
      </w:r>
      <w:r>
        <w:rPr>
          <w:rFonts w:ascii="Consolas" w:hAnsi="Consolas"/>
          <w:shd w:val="clear" w:color="auto" w:fill="F2F2F2"/>
        </w:rPr>
        <w:t>&lt;class&gt;</w:t>
      </w:r>
      <w:r>
        <w:t xml:space="preserve"> token supports extensible vocabularies:</w:t>
      </w:r>
    </w:p>
    <w:p>
      <w:pPr>
        <w:pStyle w:val="ListBullet"/>
        <w:ind w:left="360" w:hanging="360"/>
      </w:pPr>
      <w:r>
        <w:rPr>
          <w:b/>
        </w:rPr>
        <w:t>Programming languages</w:t>
      </w:r>
      <w:r>
        <w:t>: Python, JavaScript, C++, etc.</w:t>
      </w:r>
    </w:p>
    <w:p>
      <w:pPr>
        <w:pStyle w:val="ListBullet"/>
        <w:ind w:left="360" w:hanging="360"/>
      </w:pPr>
      <w:r>
        <w:rPr>
          <w:b/>
        </w:rPr>
        <w:t>Chart types</w:t>
      </w:r>
      <w:r>
        <w:t>: bar_chart, pie_chart, line_chart, scatter_plot, etc.</w:t>
      </w:r>
    </w:p>
    <w:p>
      <w:pPr>
        <w:pStyle w:val="ListBullet"/>
        <w:ind w:left="360" w:hanging="360"/>
      </w:pPr>
      <w:r>
        <w:rPr>
          <w:b/>
        </w:rPr>
        <w:t>Image types</w:t>
      </w:r>
      <w:r>
        <w:t>: photograph, diagram, screenshot, icon, logo, etc.</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The document root element. Starts with an optional [</w:t>
      </w:r>
      <w:r>
        <w:rPr>
          <w:rFonts w:ascii="Consolas" w:hAnsi="Consolas"/>
          <w:shd w:val="clear" w:color="auto" w:fill="F2F2F2"/>
        </w:rPr>
        <w:t>&lt;head&gt;</w:t>
      </w:r>
      <w:r>
        <w:t>](#head)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31">
              <w:r>
                <w:rPr>
                  <w:rStyle w:val="Hyperlink"/>
                </w:rPr>
                <w:t>https://www.doclang.ai/ns/v1"</w:t>
              </w:r>
            </w:hyperlink>
          </w:p>
        </w:tc>
        <w:tc>
          <w:tcPr>
            <w:tcW w:type="dxa" w:w="2160"/>
          </w:tcPr>
          <w:p>
            <w:r/>
            <w:r>
              <w:t>{"</w:t>
            </w:r>
            <w:hyperlink r:id="rId32">
              <w:r>
                <w:rPr>
                  <w:rStyle w:val="Hyperlink"/>
                </w:rPr>
                <w:t>https://www.doclang.ai/ns/v1"}</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"1.0.0"</w:t>
            </w:r>
          </w:p>
        </w:tc>
        <w:tc>
          <w:tcPr>
            <w:tcW w:type="dxa" w:w="2160"/>
          </w:tcPr>
          <w:p>
            <w:r/>
            <w:r>
              <w:t>In format "x.y.z" as per Semantic Versioning</w:t>
            </w:r>
          </w:p>
        </w:tc>
        <w:tc>
          <w:tcPr>
            <w:tcW w:type="dxa" w:w="2160"/>
          </w:tcPr>
          <w:p>
            <w:r/>
            <w:r>
              <w:t>The DocLang specification version the document was produced against.</w:t>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content --&gt;</w:t>
        <w:br/>
        <w:t>&lt;/doclang&gt;</w:t>
      </w:r>
    </w:p>
    <w:p>
      <w:pPr>
        <w:pStyle w:val="Heading4"/>
      </w:pPr>
      <w:r>
        <w:t>`&lt;head&gt;`</w:t>
      </w:r>
    </w:p>
    <w:p>
      <w:r>
        <w:t>Includes doc-level metadata.</w:t>
      </w:r>
    </w:p>
    <w:p>
      <w:pPr>
        <w:pStyle w:val="Heading5"/>
      </w:pPr>
      <w:r>
        <w:t>Allowed context</w:t>
      </w:r>
    </w:p>
    <w:p>
      <w:r>
        <w:t>Can only be first child of [</w:t>
      </w:r>
      <w:r>
        <w:rPr>
          <w:rFonts w:ascii="Consolas" w:hAnsi="Consolas"/>
          <w:shd w:val="clear" w:color="auto" w:fill="F2F2F2"/>
        </w:rPr>
        <w:t>&lt;doclang&gt;</w:t>
      </w:r>
      <w:r>
        <w:t>](#doclang).</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r:id="rId33">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Can only be child of [</w:t>
      </w:r>
      <w:r>
        <w:rPr>
          <w:rFonts w:ascii="Consolas" w:hAnsi="Consolas"/>
          <w:shd w:val="clear" w:color="auto" w:fill="F2F2F2"/>
        </w:rPr>
        <w:t>&lt;doclang&gt;</w:t>
      </w:r>
      <w:r>
        <w:t>](#doclang).</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shd w:val="clear" w:color="auto" w:fill="F2F2F2"/>
      </w:pPr>
      <w:r>
        <w:rPr>
          <w:rFonts w:ascii="Consolas" w:hAnsi="Consolas"/>
          <w:sz w:val="18"/>
        </w:rPr>
        <w:t>&lt;doclang xmlns="https://www.doclang.ai/ns/v1"&gt;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hyperlink r:id="rId34">
        <w:r>
          <w:rPr>
            <w:rStyle w:val="Hyperlink"/>
          </w:rPr>
          <w:t>component head</w:t>
        </w:r>
      </w:hyperlink>
      <w:r>
        <w:t>. Semantic elements are generally meant to be interpreted as block-level elements (although they can also be inlined via nesting).</w:t>
      </w:r>
    </w:p>
    <w:p>
      <w:pPr>
        <w:pStyle w:val="Heading4"/>
      </w:pPr>
      <w:r>
        <w:t>`&lt;text&gt;`</w:t>
      </w:r>
    </w:p>
    <w:p>
      <w:r>
        <w:t>Represents a piece of cohesive text as that would appear in a paragraph.</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`&lt;title&gt;`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`&lt;heading&gt;`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`&lt;otsl&gt;`</w:t>
      </w:r>
    </w:p>
    <w:p>
      <w:r>
        <w:t>Captures a table using OTSL format. A table cell, as delimited  by the respective structural elements, can be defined either by normal semantic / grouping elements or by an optional component head followed by raw or formatted text, which is to be interpreted as an "implicit [</w:t>
      </w:r>
      <w:r>
        <w:rPr>
          <w:rFonts w:ascii="Consolas" w:hAnsi="Consolas"/>
          <w:shd w:val="clear" w:color="auto" w:fill="F2F2F2"/>
        </w:rPr>
        <w:t>&lt;text&gt;</w:t>
      </w:r>
      <w:r>
        <w:t>](#text)" (i.e. without the wrapping tags).</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`&lt;list&gt;`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`&lt;list_text&gt;`</w:t>
      </w:r>
    </w:p>
    <w:p>
      <w:pPr>
        <w:pStyle w:val="Heading5"/>
      </w:pPr>
      <w:r>
        <w:t>Allowed context</w:t>
      </w:r>
    </w:p>
    <w:p>
      <w:r>
        <w:t>Can only be child of [</w:t>
      </w:r>
      <w:r>
        <w:rPr>
          <w:rFonts w:ascii="Consolas" w:hAnsi="Consolas"/>
          <w:shd w:val="clear" w:color="auto" w:fill="F2F2F2"/>
        </w:rPr>
        <w:t>&lt;list&gt;</w:t>
      </w:r>
      <w:r>
        <w:t>](#list).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`&lt;field_heading&gt;`</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`&lt;field_item&gt;`</w:t>
      </w:r>
    </w:p>
    <w:p>
      <w:r>
        <w:t>Scoping of a field key (optional) &amp; any corresponding values.</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`&lt;key&gt;`</w:t>
      </w:r>
    </w:p>
    <w:p>
      <w:r>
        <w:t>The key of a field (may correspond to  0-N field values).</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`&lt;value&gt;`</w:t>
      </w:r>
    </w:p>
    <w:p>
      <w:r>
        <w:t>A value of a field (may correspond to 0 or 1 field key).</w:t>
      </w:r>
    </w:p>
    <w:p>
      <w:pPr>
        <w:pStyle w:val="Heading5"/>
      </w:pPr>
      <w:r>
        <w:t>Allowed context</w:t>
      </w:r>
    </w:p>
    <w:p>
      <w:r>
        <w:t>Can only be descendant of [</w:t>
      </w:r>
      <w:r>
        <w:rPr>
          <w:rFonts w:ascii="Consolas" w:hAnsi="Consolas"/>
          <w:shd w:val="clear" w:color="auto" w:fill="F2F2F2"/>
        </w:rPr>
        <w:t>&lt;field_item&gt;</w:t>
      </w:r>
      <w:r>
        <w:t>](#field_item).</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4"/>
      </w:pPr>
      <w:r>
        <w:t>`&lt;hint&gt;`</w:t>
      </w:r>
    </w:p>
    <w:p>
      <w:r>
        <w:t>A hint regarding a field.</w:t>
      </w:r>
    </w:p>
    <w:p>
      <w:pPr>
        <w:pStyle w:val="Heading5"/>
      </w:pPr>
      <w:r>
        <w:t>Allowed context</w:t>
      </w:r>
    </w:p>
    <w:p>
      <w:r>
        <w:t>Can only be descendant of [</w:t>
      </w:r>
      <w:r>
        <w:rPr>
          <w:rFonts w:ascii="Consolas" w:hAnsi="Consolas"/>
          <w:shd w:val="clear" w:color="auto" w:fill="F2F2F2"/>
        </w:rPr>
        <w:t>&lt;field_region&gt;</w:t>
      </w:r>
      <w:r>
        <w:t>](#field_region).</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Allowed</w:t>
            </w:r>
          </w:p>
        </w:tc>
        <w:tc>
          <w:tcPr>
            <w:tcW w:type="dxa" w:w="2160"/>
          </w:tcPr>
          <w:p>
            <w:r/>
            <w:r>
              <w:t>Allowed</w:t>
            </w:r>
          </w:p>
        </w:tc>
      </w:tr>
    </w:tbl>
    <w:p>
      <w:pPr>
        <w:pStyle w:val="Heading3"/>
      </w:pPr>
      <w:r>
        <w:t>Grouping Elements</w:t>
      </w:r>
    </w:p>
    <w:p>
      <w:r>
        <w:t xml:space="preserve">Grouping elements enable the encapsulation of semantic elements or other grouping elements. Any grouping element may optionally begin with a </w:t>
      </w:r>
      <w:hyperlink r:id="rId34">
        <w:r>
          <w:rPr>
            <w:rStyle w:val="Hyperlink"/>
          </w:rPr>
          <w:t>component head</w:t>
        </w:r>
      </w:hyperlink>
      <w:r>
        <w:t>.</w:t>
      </w:r>
    </w:p>
    <w:p>
      <w:pPr>
        <w:pStyle w:val="Heading4"/>
      </w:pPr>
      <w:r>
        <w:t>`&lt;group&gt;`</w:t>
      </w:r>
    </w:p>
    <w:p>
      <w:r>
        <w:t>[TODO: revise] Generic container to be used for grouping mixed-type components.</w:t>
      </w:r>
    </w:p>
    <w:p>
      <w:pPr>
        <w:pStyle w:val="Heading5"/>
      </w:pPr>
      <w:r>
        <w:t>Allowed context</w:t>
      </w:r>
    </w:p>
    <w:p>
      <w:r>
        <w:t>Any context that allows grouping elements.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4"/>
      </w:pPr>
      <w:r>
        <w:t>`&lt;floating_group&gt;`</w:t>
      </w:r>
    </w:p>
    <w:p>
      <w:r>
        <w:t>[TODO: revise] Container that groups a floating component with its caption, footnotes etc.</w:t>
      </w:r>
    </w:p>
    <w:p>
      <w:pPr>
        <w:pStyle w:val="Heading5"/>
      </w:pPr>
      <w:r>
        <w:t>Allowed context</w:t>
      </w:r>
    </w:p>
    <w:p>
      <w:r>
        <w:t>Any context that allows grouping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Required</w:t>
            </w:r>
          </w:p>
        </w:tc>
        <w:tc>
          <w:tcPr>
            <w:tcW w:type="dxa" w:w="2160"/>
          </w:tcPr>
          <w:p>
            <w:r/>
            <w:r>
              <w:t>{"table", "picture", "code", "formula"}</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Allowed</w:t>
            </w:r>
          </w:p>
        </w:tc>
        <w:tc>
          <w:tcPr>
            <w:tcW w:type="dxa" w:w="2160"/>
          </w:tcPr>
          <w:p>
            <w:r/>
            <w:r>
              <w:t>Not allowed</w:t>
            </w:r>
          </w:p>
        </w:tc>
        <w:tc>
          <w:tcPr>
            <w:tcW w:type="dxa" w:w="2160"/>
          </w:tcPr>
          <w:p>
            <w:r/>
            <w:r>
              <w:t>Allowed</w:t>
            </w:r>
          </w:p>
        </w:tc>
      </w:tr>
    </w:tbl>
    <w:p>
      <w:pPr>
        <w:pStyle w:val="Heading3"/>
      </w:pPr>
      <w:r>
        <w:t>Component Head Elements</w:t>
      </w:r>
    </w:p>
    <w:p>
      <w:r>
        <w:t>The component head is a sequence comprising the following elements in this order, whereby all elements are optional:&lt;br /&gt;&lt;ul&gt;&lt;li&gt;</w:t>
      </w:r>
      <w:r>
        <w:rPr>
          <w:rFonts w:ascii="Consolas" w:hAnsi="Consolas"/>
          <w:shd w:val="clear" w:color="auto" w:fill="F2F2F2"/>
        </w:rPr>
        <w:t>&lt;thread&gt;</w:t>
      </w:r>
      <w:r>
        <w:t>&lt;/li&gt;&lt;li&gt;</w:t>
      </w:r>
      <w:r>
        <w:rPr>
          <w:rFonts w:ascii="Consolas" w:hAnsi="Consolas"/>
          <w:shd w:val="clear" w:color="auto" w:fill="F2F2F2"/>
        </w:rPr>
        <w:t>&lt;h_thread&gt;</w:t>
      </w:r>
      <w:r>
        <w:t>&lt;/li&gt;&lt;li&gt;</w:t>
      </w:r>
      <w:r>
        <w:rPr>
          <w:rFonts w:ascii="Consolas" w:hAnsi="Consolas"/>
          <w:shd w:val="clear" w:color="auto" w:fill="F2F2F2"/>
        </w:rPr>
        <w:t>&lt;meta&gt;</w:t>
      </w:r>
      <w:r>
        <w:t xml:space="preserve">&lt;/li&gt;&lt;li&gt;sequence of 2*N </w:t>
      </w:r>
      <w:r>
        <w:rPr>
          <w:rFonts w:ascii="Consolas" w:hAnsi="Consolas"/>
          <w:shd w:val="clear" w:color="auto" w:fill="F2F2F2"/>
        </w:rPr>
        <w:t>&lt;location&gt;</w:t>
      </w:r>
      <w:r>
        <w:t xml:space="preserve">s (N&gt;1)&lt;/li&gt;&lt;li&gt;sequence of </w:t>
      </w:r>
      <w:r>
        <w:rPr>
          <w:rFonts w:ascii="Consolas" w:hAnsi="Consolas"/>
          <w:shd w:val="clear" w:color="auto" w:fill="F2F2F2"/>
        </w:rPr>
        <w:t>&lt;timestamp&gt;</w:t>
      </w:r>
      <w:r>
        <w:t>s&lt;/li&gt;&lt;li&gt;</w:t>
      </w:r>
      <w:r>
        <w:rPr>
          <w:rFonts w:ascii="Consolas" w:hAnsi="Consolas"/>
          <w:shd w:val="clear" w:color="auto" w:fill="F2F2F2"/>
        </w:rPr>
        <w:t>&lt;layer&gt;</w:t>
      </w:r>
      <w:r>
        <w:t xml:space="preserve">&lt;/li&gt;&lt;/ul&gt; A component head can only appear as the leading content of a semantic or grouping element, or also of </w:t>
      </w:r>
      <w:r>
        <w:rPr>
          <w:rFonts w:ascii="Consolas" w:hAnsi="Consolas"/>
          <w:shd w:val="clear" w:color="auto" w:fill="F2F2F2"/>
        </w:rPr>
        <w:t>&lt;otsl&gt;</w:t>
      </w:r>
      <w:r>
        <w:t xml:space="preserve"> in the context of "implicit </w:t>
      </w:r>
      <w:r>
        <w:rPr>
          <w:rFonts w:ascii="Consolas" w:hAnsi="Consolas"/>
          <w:shd w:val="clear" w:color="auto" w:fill="F2F2F2"/>
        </w:rPr>
        <w:t>&lt;text&gt;</w:t>
      </w:r>
      <w:r>
        <w:t>s".&lt;br/&gt;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pages.&lt;br/&gt;  To capture such a component, we define separate instances of the respective element and use a [</w:t>
      </w:r>
      <w:r>
        <w:rPr>
          <w:rFonts w:ascii="Consolas" w:hAnsi="Consolas"/>
          <w:shd w:val="clear" w:color="auto" w:fill="F2F2F2"/>
        </w:rPr>
        <w:t>&lt;thread&gt;</w:t>
      </w:r>
      <w:r>
        <w:t xml:space="preserve">](#thread)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5"/>
      </w:pPr>
      <w:r>
        <w:t>Example</w:t>
      </w:r>
    </w:p>
    <w:p>
      <w:pPr>
        <w:pStyle w:val="Heading6"/>
      </w:pPr>
      <w:r>
        <w:t>Show document picture</w:t>
      </w:r>
    </w:p>
    <w:p>
      <w:r>
        <w:t>&lt;img src="../input/examples/thread.png" width="700"&gt;</w:t>
      </w:r>
    </w:p>
    <w:p>
      <w:pPr>
        <w:shd w:val="clear" w:color="auto" w:fill="F2F2F2"/>
      </w:pPr>
      <w:r>
        <w:rPr>
          <w:rFonts w:ascii="Consolas" w:hAnsi="Consolas"/>
          <w:sz w:val="18"/>
        </w:rPr>
        <w:t>&lt;doclang xmlns="https://www.doclang.ai/ns/v1"&gt;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`&lt;meta&gt;`</w:t>
      </w:r>
    </w:p>
    <w:p>
      <w:r>
        <w:t>Used to store additional or derived information regarding the respective component.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Optional; defaults to head metadata [</w:t>
            </w:r>
            <w:r>
              <w:rPr>
                <w:rFonts w:ascii="Consolas" w:hAnsi="Consolas"/>
                <w:shd w:val="clear" w:color="auto" w:fill="F2F2F2"/>
              </w:rPr>
              <w:t>&lt;default_resolution&gt;</w:t>
            </w:r>
            <w:r>
              <w:t>](#default_resolution), otherwise "512"</w:t>
            </w:r>
          </w:p>
        </w:tc>
        <w:tc>
          <w:tcPr>
            <w:tcW w:type="dxa" w:w="2160"/>
          </w:tcPr>
          <w:p>
            <w:r/>
            <w:r>
              <w:t>Postive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`&lt;timestamp&gt;`</w:t>
      </w:r>
    </w:p>
    <w:p>
      <w:r>
        <w:t xml:space="preserve">needed? Yes,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`&lt;hour&gt;`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`&lt;minute&gt;`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`&lt;second&gt;`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`&lt;centisecond&gt;`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`&lt;layer&gt;`</w:t>
      </w:r>
    </w:p>
    <w:p>
      <w:pPr>
        <w:pStyle w:val="Heading5"/>
      </w:pPr>
      <w:r>
        <w:t>Allowed context</w:t>
      </w:r>
    </w:p>
    <w:p>
      <w:r>
        <w:t>Can only be child of a semantic or a grouping element (or of [</w:t>
      </w:r>
      <w:r>
        <w:rPr>
          <w:rFonts w:ascii="Consolas" w:hAnsi="Consolas"/>
          <w:shd w:val="clear" w:color="auto" w:fill="F2F2F2"/>
        </w:rPr>
        <w:t>&lt;otsl&gt;</w:t>
      </w:r>
      <w:r>
        <w:t>](#otsl) in the context of "implicit [</w:t>
      </w:r>
      <w:r>
        <w:rPr>
          <w:rFonts w:ascii="Consolas" w:hAnsi="Consolas"/>
          <w:shd w:val="clear" w:color="auto" w:fill="F2F2F2"/>
        </w:rPr>
        <w:t>&lt;text&gt;</w:t>
      </w:r>
      <w:r>
        <w:t>](#text)s").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`&lt;classification&gt;`</w:t>
      </w:r>
    </w:p>
    <w:p>
      <w:pPr>
        <w:pStyle w:val="Heading5"/>
      </w:pPr>
      <w:r>
        <w:t>Allowed context</w:t>
      </w:r>
    </w:p>
    <w:p>
      <w:r>
        <w:t>Can only be child of [</w:t>
      </w:r>
      <w:r>
        <w:rPr>
          <w:rFonts w:ascii="Consolas" w:hAnsi="Consolas"/>
          <w:shd w:val="clear" w:color="auto" w:fill="F2F2F2"/>
        </w:rPr>
        <w:t>&lt;meta&gt;</w:t>
      </w:r>
      <w:r>
        <w:t>](#meta).</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Can only be child of [</w:t>
      </w:r>
      <w:r>
        <w:rPr>
          <w:rFonts w:ascii="Consolas" w:hAnsi="Consolas"/>
          <w:shd w:val="clear" w:color="auto" w:fill="F2F2F2"/>
        </w:rPr>
        <w:t>&lt;picture&gt;</w:t>
      </w:r>
      <w:r>
        <w:t>](#picture) or first child of [</w:t>
      </w:r>
      <w:r>
        <w:rPr>
          <w:rFonts w:ascii="Consolas" w:hAnsi="Consolas"/>
          <w:shd w:val="clear" w:color="auto" w:fill="F2F2F2"/>
        </w:rPr>
        <w:t>&lt;hyperlink&gt;</w:t>
      </w:r>
      <w:r>
        <w:t>](#hyperlink).</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selected</w:t>
            </w:r>
          </w:p>
        </w:tc>
        <w:tc>
          <w:tcPr>
            <w:tcW w:type="dxa" w:w="2160"/>
          </w:tcPr>
          <w:p>
            <w:r/>
            <w:r>
              <w:t>Optional;default: "false"</w:t>
            </w:r>
          </w:p>
        </w:tc>
        <w:tc>
          <w:tcPr>
            <w:tcW w:type="dxa" w:w="2160"/>
          </w:tcPr>
          <w:p>
            <w:r/>
            <w:r>
              <w:t>{"false", "true"}</w:t>
            </w:r>
          </w:p>
        </w:tc>
        <w:tc>
          <w:tcPr>
            <w:tcW w:type="dxa" w:w="2160"/>
          </w:tcPr>
          <w:p>
            <w:r/>
          </w:p>
        </w:tc>
      </w:tr>
    </w:tbl>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4"/>
      </w:pPr>
      <w:r>
        <w:t>`&lt;hyperlink&gt;`</w:t>
      </w:r>
    </w:p>
    <w:p>
      <w:r>
        <w:t>Contains a [</w:t>
      </w:r>
      <w:r>
        <w:rPr>
          <w:rFonts w:ascii="Consolas" w:hAnsi="Consolas"/>
          <w:shd w:val="clear" w:color="auto" w:fill="F2F2F2"/>
        </w:rPr>
        <w:t>&lt;uri&gt;</w:t>
      </w:r>
      <w:r>
        <w:t>](#uri)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Allowed</w:t>
            </w:r>
          </w:p>
        </w:tc>
        <w:tc>
          <w:tcPr>
            <w:tcW w:type="dxa" w:w="2160"/>
          </w:tcPr>
          <w:p>
            <w:r/>
            <w:r>
              <w:t>Not allowed</w:t>
            </w:r>
          </w:p>
        </w:tc>
        <w:tc>
          <w:tcPr>
            <w:tcW w:type="dxa" w:w="2160"/>
          </w:tcPr>
          <w:p>
            <w:r/>
            <w:r>
              <w:t>Allowed</w:t>
            </w:r>
          </w:p>
        </w:tc>
        <w:tc>
          <w:tcPr>
            <w:tcW w:type="dxa" w:w="2160"/>
          </w:tcPr>
          <w:p>
            <w:r/>
            <w:r>
              <w:t>Allowed</w:t>
            </w:r>
          </w:p>
        </w:tc>
      </w:tr>
    </w:tbl>
    <w:p>
      <w:pPr>
        <w:pStyle w:val="Heading3"/>
      </w:pPr>
      <w:r>
        <w:t>Structural Elements</w:t>
      </w:r>
    </w:p>
    <w:p>
      <w:r>
        <w:t>Structural elements define boundaries within tabular content (</w:t>
      </w:r>
      <w:r>
        <w:rPr>
          <w:rFonts w:ascii="Consolas" w:hAnsi="Consolas"/>
          <w:shd w:val="clear" w:color="auto" w:fill="F2F2F2"/>
        </w:rPr>
        <w:t>&lt;otsl&gt;</w:t>
      </w:r>
      <w:r>
        <w:t>).</w:t>
      </w:r>
    </w:p>
    <w:p>
      <w:pPr>
        <w:pStyle w:val="Heading4"/>
      </w:pPr>
      <w:r>
        <w:t>`&lt;fcel&gt;`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`&lt;ecel&gt;`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`&lt;ched&gt;`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`&lt;rhed&gt;`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`&lt;corn&gt;`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`&lt;srow&gt;`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`&lt;lcel&gt;`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`&lt;ucel&gt;`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`&lt;xcel&gt;`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4"/>
      </w:pPr>
      <w:r>
        <w:t>`&lt;nl&gt;`</w:t>
      </w:r>
    </w:p>
    <w:p>
      <w:pPr>
        <w:pStyle w:val="Heading5"/>
      </w:pPr>
      <w:r>
        <w:t>Allowed context</w:t>
      </w:r>
    </w:p>
    <w:p>
      <w:r>
        <w:t>Can only be child of [</w:t>
      </w:r>
      <w:r>
        <w:rPr>
          <w:rFonts w:ascii="Consolas" w:hAnsi="Consolas"/>
          <w:shd w:val="clear" w:color="auto" w:fill="F2F2F2"/>
        </w:rPr>
        <w:t>&lt;otsl&gt;</w:t>
      </w:r>
      <w:r>
        <w:t>](#otsl).</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Not allowed</w:t>
            </w:r>
          </w:p>
        </w:tc>
        <w:tc>
          <w:tcPr>
            <w:tcW w:type="dxa" w:w="2160"/>
          </w:tcPr>
          <w:p>
            <w:r/>
            <w:r>
              <w:t>Not allowed</w:t>
            </w:r>
          </w:p>
        </w:tc>
        <w:tc>
          <w:tcPr>
            <w:tcW w:type="dxa" w:w="2160"/>
          </w:tcPr>
          <w:p>
            <w:r/>
            <w:r>
              <w:t>Not allowed</w:t>
            </w:r>
          </w:p>
        </w:tc>
        <w:tc>
          <w:tcPr>
            <w:tcW w:type="dxa" w:w="2160"/>
          </w:tcPr>
          <w:p>
            <w:r/>
            <w:r>
              <w:t>Not allowed</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`&lt;date&gt;`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`&lt;topic&gt;`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Content Types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XML content</w:t>
            </w:r>
          </w:p>
        </w:tc>
        <w:tc>
          <w:tcPr>
            <w:tcW w:type="dxa" w:w="2160"/>
          </w:tcPr>
          <w:p>
            <w:r/>
            <w:r>
              <w:t>Component head</w:t>
            </w:r>
          </w:p>
        </w:tc>
        <w:tc>
          <w:tcPr>
            <w:tcW w:type="dxa" w:w="2160"/>
          </w:tcPr>
          <w:p>
            <w:r/>
            <w:r>
              <w:t>Raw text</w:t>
            </w:r>
          </w:p>
        </w:tc>
        <w:tc>
          <w:tcPr>
            <w:tcW w:type="dxa" w:w="2160"/>
          </w:tcPr>
          <w:p>
            <w:r/>
            <w:r>
              <w:t>Semantic / grouping elements</w:t>
            </w:r>
          </w:p>
        </w:tc>
      </w:tr>
      <w:tr>
        <w:tc>
          <w:tcPr>
            <w:tcW w:type="dxa" w:w="2160"/>
          </w:tcPr>
          <w:p>
            <w:r/>
            <w:r>
              <w:t>TBD</w:t>
            </w:r>
          </w:p>
        </w:tc>
        <w:tc>
          <w:tcPr>
            <w:tcW w:type="dxa" w:w="2160"/>
          </w:tcPr>
          <w:p>
            <w:r/>
            <w:r>
              <w:t>TBD</w:t>
            </w:r>
          </w:p>
        </w:tc>
        <w:tc>
          <w:tcPr>
            <w:tcW w:type="dxa" w:w="2160"/>
          </w:tcPr>
          <w:p>
            <w:r/>
            <w:r>
              <w:t>TBD</w:t>
            </w:r>
          </w:p>
        </w:tc>
        <w:tc>
          <w:tcPr>
            <w:tcW w:type="dxa" w:w="2160"/>
          </w:tcPr>
          <w:p>
            <w:r/>
            <w:r>
              <w:t>TBD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hyperlink" Target="#appendix-a-reference" TargetMode="External"/><Relationship Id="rId15" Type="http://schemas.openxmlformats.org/officeDocument/2006/relationships/hyperlink" Target="https://iso639-3.sil.org/about" TargetMode="Externa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hyperlink" Target="/examples/form/form-examples.md"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www.doclang.ai/ns/v1&quot;" TargetMode="External"/><Relationship Id="rId32" Type="http://schemas.openxmlformats.org/officeDocument/2006/relationships/hyperlink" Target="https://www.doclang.ai/ns/v1&quot;}" TargetMode="External"/><Relationship Id="rId33" Type="http://schemas.openxmlformats.org/officeDocument/2006/relationships/hyperlink" Target="#head-and-body-areas" TargetMode="External"/><Relationship Id="rId34" Type="http://schemas.openxmlformats.org/officeDocument/2006/relationships/hyperlink" Target="#component-head-ele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