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pPr>
        <w:pStyle w:val="Heading1"/>
      </w:pPr>
      <w:r>
        <w:t>DocLang: Universal AI Document Format</w:t>
      </w:r>
    </w:p>
    <w:p>
      <w:pPr>
        <w:pStyle w:val="Heading2"/>
      </w:pPr>
      <w:r>
        <w:t>Introduction and Overview</w:t>
      </w:r>
    </w:p>
    <w:p>
      <w:pPr>
        <w:pStyle w:val="Heading3"/>
      </w:pPr>
      <w:r>
        <w:t>Foreword</w:t>
      </w:r>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w:t>
            </w:r>
          </w:p>
        </w:tc>
        <w:tc>
          <w:tcPr>
            <w:tcW w:type="dxa" w:w="2880"/>
          </w:tcPr>
          <w:p>
            <w:r/>
            <w:r>
              <w:t>marlene.wolfgruber@abbyy.com</w:t>
            </w:r>
          </w:p>
        </w:tc>
      </w:tr>
      <w:tr>
        <w:tc>
          <w:tcPr>
            <w:tcW w:type="dxa" w:w="2880"/>
          </w:tcPr>
          <w:p>
            <w:r/>
            <w:r>
              <w:t>Maxime Vermeir</w:t>
            </w:r>
          </w:p>
        </w:tc>
        <w:tc>
          <w:tcPr>
            <w:tcW w:type="dxa" w:w="2880"/>
          </w:tcPr>
          <w:p>
            <w:r/>
            <w:r>
              <w:t>ABBY</w:t>
            </w:r>
          </w:p>
        </w:tc>
        <w:tc>
          <w:tcPr>
            <w:tcW w:type="dxa" w:w="2880"/>
          </w:tcPr>
          <w:p>
            <w:r/>
            <w:r>
              <w:t>maxime.vermeir@abbyy.com</w:t>
            </w:r>
          </w:p>
        </w:tc>
      </w:tr>
      <w:tr>
        <w:tc>
          <w:tcPr>
            <w:tcW w:type="dxa" w:w="2880"/>
          </w:tcPr>
          <w:p>
            <w:r/>
            <w:r>
              <w:t>Morgan Logue</w:t>
            </w:r>
          </w:p>
        </w:tc>
        <w:tc>
          <w:tcPr>
            <w:tcW w:type="dxa" w:w="2880"/>
          </w:tcPr>
          <w:p>
            <w:r/>
            <w:r>
              <w:t>ABBY</w:t>
            </w:r>
          </w:p>
        </w:tc>
        <w:tc>
          <w:tcPr>
            <w:tcW w:type="dxa" w:w="2880"/>
          </w:tcPr>
          <w:p>
            <w:r/>
            <w:r>
              <w:t>morgan.logue@abbyy.com</w:t>
            </w:r>
          </w:p>
        </w:tc>
      </w:tr>
      <w:tr>
        <w:tc>
          <w:tcPr>
            <w:tcW w:type="dxa" w:w="2880"/>
          </w:tcPr>
          <w:p>
            <w:r/>
            <w:r>
              <w:t>Andrew Pery</w:t>
            </w:r>
          </w:p>
        </w:tc>
        <w:tc>
          <w:tcPr>
            <w:tcW w:type="dxa" w:w="2880"/>
          </w:tcPr>
          <w:p>
            <w:r/>
            <w:r>
              <w:t>ABBY</w:t>
            </w:r>
          </w:p>
        </w:tc>
        <w:tc>
          <w:tcPr>
            <w:tcW w:type="dxa" w:w="2880"/>
          </w:tcPr>
          <w:p>
            <w:r/>
            <w:r>
              <w:t>???</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pPr>
        <w:pStyle w:val="Heading3"/>
      </w:pPr>
      <w:r>
        <w:t>Introduction</w:t>
      </w:r>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pPr>
        <w:pStyle w:val="Heading3"/>
      </w:pPr>
      <w:r>
        <w:t>Scope</w:t>
      </w:r>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pPr>
        <w:pStyle w:val="Heading3"/>
      </w:pPr>
      <w:r>
        <w:t>Motivation</w:t>
      </w:r>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 a 1-to-1 mapping between DocLang tokens and LLM tokens) and efficiently (== minimal token count).</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DocLang/OTSL</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pPr>
        <w:pStyle w:val="Heading2"/>
      </w:pPr>
      <w:r>
        <w:t>Language Design Principles</w:t>
      </w:r>
    </w:p>
    <w:p>
      <w:pPr>
        <w:pStyle w:val="Heading3"/>
      </w:pPr>
      <w:r>
        <w:t>Terminology</w:t>
      </w:r>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*within* a block element to shape its in-line structure; a typical HTML example is the </w:t>
      </w:r>
      <w:r>
        <w:rPr>
          <w:rFonts w:ascii="Consolas" w:hAnsi="Consolas"/>
          <w:shd w:val="clear" w:color="auto" w:fill="F2F2F2"/>
        </w:rPr>
        <w:t>span</w:t>
      </w:r>
      <w:r>
        <w:t xml:space="preserve"> element.</w:t>
      </w:r>
    </w:p>
    <w:p>
      <w:r>
        <w:t>Note that, whether block-level or inline, an element may contain *explicit* new lines.</w:t>
      </w:r>
    </w:p>
    <w:p>
      <w:pPr>
        <w:pStyle w:val="Heading3"/>
      </w:pPr>
      <w:r>
        <w:t>Property Semantics</w:t>
      </w:r>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pPr>
        <w:pStyle w:val="Heading3"/>
      </w:pPr>
      <w:r>
        <w:t>Content Encoding and Whitespace Handling</w:t>
      </w:r>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pPr>
        <w:pStyle w:val="Heading3"/>
      </w:pPr>
      <w:r>
        <w:t>Head and Body Areas</w:t>
      </w:r>
    </w:p>
    <w:p>
      <w:r>
        <w:t>Core document components such as paragraphs, tables, images etc., can have various properties associated with them. To separate between the component's properties and its actual content, respective DocLang elements follow a two-part scheme.</w:t>
      </w:r>
    </w:p>
    <w:p>
      <w:r>
        <w:t>The element's XML content begins with an optional *component head*, which is a sequence of dedicated elements that establish the element's properties. The component's effective content, e.g. paragraph text, is then captured by the remaining of the XML content, an area which is called the *component body*.</w:t>
      </w:r>
    </w:p>
    <w:p>
      <w:r>
        <w:t xml:space="preserve">The overall DocLang document follows a similar structure: Any global document properties are captured in the optional *document head* and the remaining content is called the *document body*. Unlike the component head, the document head is encapsulated in a dedicated </w:t>
      </w:r>
      <w:r>
        <w:rPr>
          <w:rFonts w:ascii="Consolas" w:hAnsi="Consolas"/>
          <w:shd w:val="clear" w:color="auto" w:fill="F2F2F2"/>
        </w:rPr>
        <w:t>&lt;head&gt;</w:t>
      </w:r>
      <w:r>
        <w:t xml:space="preserve"> element — the body is unwrapped in both cases.</w:t>
      </w:r>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&lt;date&gt;2020-01-01&lt;/date&gt;</w:t>
        <w:br/>
        <w:t xml:space="preserve">    &lt;topic&gt;General&lt;/topic&gt;</w:t>
        <w:br/>
        <w:t xml:space="preserve">  &lt;/head&gt;</w:t>
        <w:br/>
        <w:t/>
        <w:br/>
        <w:t xml:space="preserve">  &lt;!-- document body: --&gt;</w:t>
        <w:br/>
        <w:t xml:space="preserve">  &lt;text&gt;</w:t>
        <w:br/>
        <w:t xml:space="preserve">    &lt;!-- component body: --&gt;</w:t>
        <w:br/>
        <w:t xml:space="preserve">    Headless paragraph</w:t>
        <w:br/>
        <w:t xml:space="preserve">  &lt;/text&gt;</w:t>
        <w:br/>
        <w:t xml:space="preserve">  &lt;text&gt;</w:t>
        <w:br/>
        <w:t xml:space="preserve">    &lt;!-- component head: --&gt;</w:t>
        <w:br/>
        <w:t xml:space="preserve">    &lt;meta&gt;&lt;summary&gt;A salutation.&lt;/summary&gt;&lt;/meta&gt;</w:t>
        <w:br/>
        <w:t xml:space="preserve">    &lt;location value="60"/&gt;&lt;location value="260"/&gt;</w:t>
        <w:br/>
        <w:t xml:space="preserve">    &lt;location value="440"/&gt;&lt;location value="270"/&gt;</w:t>
        <w:br/>
        <w:t/>
        <w:br/>
        <w:t xml:space="preserve">    &lt;!-- component body: --&gt;</w:t>
        <w:br/>
        <w:t xml:space="preserve">    &lt;italic&gt;Hello&lt;/italic&gt;</w:t>
        <w:br/>
        <w:t xml:space="preserve">    &lt;content&gt; world!&lt;/content&gt;</w:t>
        <w:br/>
        <w:t xml:space="preserve">  &lt;/text&gt;</w:t>
        <w:br/>
        <w:t>&lt;/doclang&gt;</w:t>
      </w:r>
    </w:p>
    <w:p>
      <w:pPr>
        <w:pStyle w:val="Heading3"/>
      </w:pPr>
      <w:r>
        <w:t>Version Management and Compatibility</w:t>
      </w:r>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r>
        <w:t xml:space="preserve">The version of the present specification is </w:t>
      </w:r>
      <w:r>
        <w:rPr>
          <w:b/>
        </w:rPr>
        <w:t>0.2</w:t>
      </w:r>
      <w:r>
        <w:t>.</w:t>
      </w:r>
    </w:p>
    <w:p>
      <w:pPr>
        <w:pStyle w:val="Heading4"/>
      </w:pPr>
      <w:r>
        <w:t>Semantic Versioning Principles</w:t>
      </w:r>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pPr>
        <w:pStyle w:val="Heading4"/>
      </w:pPr>
      <w:r>
        <w:t>Version 0.x Behavior</w:t>
      </w:r>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pPr>
        <w:pStyle w:val="Heading4"/>
      </w:pPr>
      <w:r>
        <w:t>XSD Schema Versioning</w:t>
      </w:r>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pPr>
        <w:pStyle w:val="Heading2"/>
      </w:pPr>
      <w:r>
        <w:t>Language Specification</w:t>
      </w:r>
    </w:p>
    <w:p>
      <w:r>
        <w:t xml:space="preserve">The individual DocLang elements and attributes, as well as DocLang's contextual rules are specified in </w:t>
      </w:r>
      <w:r>
        <w:t>Appendix A: Reference</w:t>
      </w:r>
      <w:r>
        <w:t>.</w:t>
      </w:r>
    </w:p>
    <w:p>
      <w:r>
        <w:t xml:space="preserve">Metadata elements and attributes are further discussed in </w:t>
      </w:r>
      <w:r>
        <w:t>Appendix B: Metadata</w:t>
      </w:r>
      <w:r>
        <w:t>.</w:t>
      </w:r>
    </w:p>
    <w:p>
      <w:r>
        <w:t xml:space="preserve">Special validation rules are covered in </w:t>
      </w:r>
      <w:r>
        <w:t>Appendix C: Validation Rules</w:t>
      </w:r>
      <w:r>
        <w:t>.</w:t>
      </w:r>
    </w:p>
    <w:p>
      <w:pPr>
        <w:pStyle w:val="Heading2"/>
      </w:pPr>
      <w:r>
        <w:t>Usage Examples</w:t>
      </w:r>
    </w:p>
    <w:p>
      <w:pPr>
        <w:pStyle w:val="Heading3"/>
      </w:pPr>
      <w:r>
        <w:t>Simple Document Structure</w:t>
      </w:r>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pPr>
        <w:pStyle w:val="Heading3"/>
      </w:pPr>
      <w:r>
        <w:t>Code snippets</w:t>
      </w:r>
    </w:p>
    <w:p>
      <w:r>
        <w:t xml:space="preserve">Code content is captured with </w:t>
      </w:r>
      <w:r>
        <w:rPr>
          <w:rFonts w:ascii="Consolas" w:hAnsi="Consolas"/>
          <w:shd w:val="clear" w:color="auto" w:fill="F2F2F2"/>
        </w:rPr>
        <w:t>&lt;code&gt;</w:t>
      </w:r>
      <w:r>
        <w:t xml:space="preserve">, either as a standalone block or inlined within a semantic element. The </w:t>
      </w:r>
      <w:r>
        <w:rPr>
          <w:rFonts w:ascii="Consolas" w:hAnsi="Consolas"/>
          <w:shd w:val="clear" w:color="auto" w:fill="F2F2F2"/>
        </w:rPr>
        <w:t>class</w:t>
      </w:r>
      <w:r>
        <w:t xml:space="preserve"> attribute can be optionally used for classifying the programming language.</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 class="python"&gt;&lt;content&gt;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 class="javascript"&gt;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tokens; keep </w:t>
      </w:r>
      <w:r>
        <w:rPr>
          <w:rFonts w:ascii="Consolas" w:hAnsi="Consolas"/>
          <w:shd w:val="clear" w:color="auto" w:fill="F2F2F2"/>
        </w:rPr>
        <w:t>&lt;class&gt;</w:t>
      </w:r>
      <w:r>
        <w:t xml:space="preserve"> in the first fragment.</w:t>
      </w:r>
    </w:p>
    <w:p>
      <w:pPr>
        <w:shd w:val="clear" w:color="auto" w:fill="F2F2F2"/>
      </w:pPr>
      <w:r>
        <w:rPr>
          <w:rFonts w:ascii="Consolas" w:hAnsi="Consolas"/>
          <w:sz w:val="18"/>
        </w:rPr>
        <w:t>&lt;code class="bash"&gt;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pPr>
        <w:pStyle w:val="Heading3"/>
      </w:pPr>
      <w:r>
        <w:t>Math and Equations</w:t>
      </w:r>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pPr>
        <w:pStyle w:val="Heading3"/>
      </w:pPr>
      <w:r>
        <w:t>Tables</w:t>
      </w:r>
    </w:p>
    <w:p>
      <w:r>
        <w:t xml:space="preserve">A table is defined by a </w:t>
      </w:r>
      <w:r>
        <w:rPr>
          <w:rFonts w:ascii="Consolas" w:hAnsi="Consolas"/>
          <w:shd w:val="clear" w:color="auto" w:fill="F2F2F2"/>
        </w:rPr>
        <w:t>table</w:t>
      </w:r>
      <w:r>
        <w:t xml:space="preserve"> element, that contains cells, as delimited by the respective structural tokens (e.g., </w:t>
      </w:r>
      <w:r>
        <w:rPr>
          <w:rFonts w:ascii="Consolas" w:hAnsi="Consolas"/>
          <w:shd w:val="clear" w:color="auto" w:fill="F2F2F2"/>
        </w:rPr>
        <w:t>&lt;fcel/&gt;</w:t>
      </w:r>
      <w:r>
        <w:t xml:space="preserve">, </w:t>
      </w:r>
      <w:r>
        <w:rPr>
          <w:rFonts w:ascii="Consolas" w:hAnsi="Consolas"/>
          <w:shd w:val="clear" w:color="auto" w:fill="F2F2F2"/>
        </w:rPr>
        <w:t>&lt;ched/&gt;</w:t>
      </w:r>
      <w:r>
        <w:t>).</w:t>
      </w:r>
    </w:p>
    <w:p>
      <w:r>
        <w:t>Basic example:</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token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&lt;uri&gt;assets/img/sample.png&lt;/uri&gt;</w:t>
        <w:br/>
        <w:t xml:space="preserve">    &lt;/picture&gt;</w:t>
        <w:br/>
        <w:t xml:space="preserve">    &lt;caption&gt;Example image inside a cell&lt;/caption&gt;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tokens up to </w:t>
      </w:r>
      <w:r>
        <w:rPr>
          <w:rFonts w:ascii="Consolas" w:hAnsi="Consolas"/>
          <w:shd w:val="clear" w:color="auto" w:fill="F2F2F2"/>
        </w:rPr>
        <w:t>&lt;nl/&gt;</w:t>
      </w:r>
      <w:r>
        <w:t>.</w:t>
      </w:r>
    </w:p>
    <w:p>
      <w:pPr>
        <w:pStyle w:val="ListBullet"/>
        <w:ind w:left="360" w:hanging="360"/>
      </w:pPr>
      <w:r>
        <w:t>A cell can include any valid DocLang semantic element sequence.</w:t>
      </w:r>
    </w:p>
    <w:p>
      <w:pPr>
        <w:pStyle w:val="Heading3"/>
      </w:pPr>
      <w:r>
        <w:t>Lists</w:t>
      </w:r>
    </w:p>
    <w:p>
      <w:r>
        <w:t xml:space="preserve">A list can in principle can contain as list items any semantic element sequence. Every list item is preceded by an </w:t>
      </w:r>
      <w:r>
        <w:rPr>
          <w:rFonts w:ascii="Consolas" w:hAnsi="Consolas"/>
          <w:shd w:val="clear" w:color="auto" w:fill="F2F2F2"/>
        </w:rPr>
        <w:t>&lt;ldiv&gt;</w:t>
      </w:r>
      <w:r>
        <w:t xml:space="preserve"> element which may optionally contain a marker.</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pPr>
        <w:pStyle w:val="Heading3"/>
      </w:pPr>
      <w:r>
        <w:t>Fields</w:t>
      </w:r>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Token</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pPr>
        <w:pStyle w:val="Heading4"/>
      </w:pPr>
      <w:r>
        <w:t>Field Structure Rules</w:t>
      </w:r>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pPr>
        <w:pStyle w:val="Heading4"/>
      </w:pPr>
      <w:r>
        <w:t>Field region examples</w:t>
      </w:r>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&lt;uri&gt;assets/product-diagram.png&lt;/uri&gt;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pPr>
        <w:pStyle w:val="Heading5"/>
      </w:pPr>
      <w:r>
        <w:t>Simple key-values</w:t>
      </w:r>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pPr>
        <w:pStyle w:val="Heading5"/>
      </w:pPr>
      <w:r>
        <w:t>Nesting forms and using form headings</w:t>
      </w:r>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pPr>
        <w:pStyle w:val="Heading5"/>
      </w:pPr>
      <w:r>
        <w:t>Fillable form</w:t>
      </w:r>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pPr>
        <w:pStyle w:val="Heading5"/>
      </w:pPr>
      <w:r>
        <w:t>Use of form headings</w:t>
      </w:r>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pPr>
        <w:pStyle w:val="Heading5"/>
      </w:pPr>
      <w:r>
        <w:t>High density form</w:t>
      </w:r>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pPr>
        <w:pStyle w:val="Heading5"/>
      </w:pPr>
      <w:r>
        <w:t>Classical duality between tables and explicit key-values</w:t>
      </w:r>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pPr>
        <w:pStyle w:val="Heading5"/>
      </w:pPr>
      <w:r>
        <w:t>Values without Keys</w:t>
      </w:r>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pPr>
        <w:pStyle w:val="Heading5"/>
      </w:pPr>
      <w:r>
        <w:t>Another complex form deconstructed into field items</w:t>
      </w:r>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pPr>
        <w:pStyle w:val="Heading5"/>
      </w:pPr>
      <w:r>
        <w:t>Middle section of a form with A and B choices</w:t>
      </w:r>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pPr>
        <w:pStyle w:val="Heading5"/>
      </w:pPr>
      <w:r>
        <w:t>Tabular form with strong 2D value relationship</w:t>
      </w:r>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pPr>
        <w:pStyle w:val="Heading5"/>
      </w:pPr>
      <w:r>
        <w:t>Mix table and form elements</w:t>
      </w:r>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&lt;picture&gt;&lt;class&gt;pictogram&lt;/class&gt;&lt;/picture&gt;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pPr>
        <w:pStyle w:val="Heading5"/>
      </w:pPr>
      <w:r>
        <w:t>Key-value pair in the wild</w:t>
      </w:r>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pPr>
        <w:pStyle w:val="Heading3"/>
      </w:pPr>
      <w:r>
        <w:t>Split structure</w:t>
      </w:r>
    </w:p>
    <w:p>
      <w:r>
        <w:t xml:space="preserve">We can capture content that is split (e.g. across columns or across pages) using the </w:t>
      </w:r>
      <w:r>
        <w:rPr>
          <w:rFonts w:ascii="Consolas" w:hAnsi="Consolas"/>
          <w:shd w:val="clear" w:color="auto" w:fill="F2F2F2"/>
        </w:rPr>
        <w:t>&lt;thread thread_id="N"/&gt;</w:t>
      </w:r>
      <w:r>
        <w:t xml:space="preserve"> token,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pPr>
        <w:pStyle w:val="Heading4"/>
      </w:pPr>
      <w:r>
        <w:t>Cross-column structure example</w:t>
      </w:r>
    </w:p>
    <w:p>
      <w:r>
        <w:drawing>
          <wp:inline xmlns:a="http://schemas.openxmlformats.org/drawingml/2006/main" xmlns:pic="http://schemas.openxmlformats.org/drawingml/2006/picture">
            <wp:extent cx="5486400" cy="7100047"/>
            <wp:docPr id="15" name="Picture 15"/>
            <wp:cNvGraphicFramePr>
              <a:graphicFrameLocks noChangeAspect="1"/>
            </wp:cNvGraphicFramePr>
            <a:graphic>
              <a:graphicData uri="http://schemas.openxmlformats.org/drawingml/2006/picture">
                <pic:pic>
                  <pic:nvPicPr>
                    <pic:cNvPr id="0" name="inline_00.png"/>
                    <pic:cNvPicPr/>
                  </pic:nvPicPr>
                  <pic:blipFill>
                    <a:blip r:embed="rId27"/>
                    <a:stretch>
                      <a:fillRect/>
                    </a:stretch>
                  </pic:blipFill>
                  <pic:spPr>
                    <a:xfrm>
                      <a:off x="0" y="0"/>
                      <a:ext cx="5486400" cy="7100047"/>
                    </a:xfrm>
                    <a:prstGeom prst="rect"/>
                  </pic:spPr>
                </pic:pic>
              </a:graphicData>
            </a:graphic>
          </wp:inline>
        </w:drawing>
      </w:r>
    </w:p>
    <w:p>
      <w:r>
        <w:t>Each block that has location information is a top-level tag of the corresponding label, e.g. "text".</w:t>
      </w:r>
    </w:p>
    <w:p>
      <w:r>
        <w:t>Top-level tags which belong to the same item should have the same thread token.</w:t>
      </w:r>
    </w:p>
    <w:p>
      <w:pPr>
        <w:shd w:val="clear" w:color="auto" w:fill="F2F2F2"/>
      </w:pPr>
      <w:r>
        <w:rPr>
          <w:rFonts w:ascii="Consolas" w:hAnsi="Consolas"/>
          <w:sz w:val="18"/>
        </w:rPr>
        <w:t>&lt;text&gt;</w:t>
        <w:br/>
        <w:t xml:space="preserve">  &lt;location value="10"/&gt;&lt;location value="20"/&gt;</w:t>
        <w:br/>
        <w:t xml:space="preserve">  &lt;location value="30"/&gt;&lt;location value="40"/&gt;</w:t>
        <w:br/>
        <w:t xml:space="preserve">  &lt;thread thread_id="1"/&gt;</w:t>
        <w:br/>
        <w:t/>
        <w:br/>
        <w:t xml:space="preserve">  where τ&lt;subscript&gt;x,y,z&lt;/subscript&gt; are the Pauli matrices acting</w:t>
        <w:br/>
        <w:t xml:space="preserve">  on Nambu space. We consider a circular-shaped boundary, the nor-</w:t>
        <w:br/>
        <w:t>&lt;/text&gt;</w:t>
        <w:br/>
        <w:t/>
        <w:br/>
        <w:t>&lt;caption&gt;</w:t>
        <w:br/>
        <w:t xml:space="preserve">  &lt;location value="50"/&gt;&lt;location value="60"/&gt;</w:t>
        <w:br/>
        <w:t xml:space="preserve">  &lt;location value="70"/&gt;&lt;location value="80"/&gt;</w:t>
        <w:br/>
        <w:t/>
        <w:br/>
        <w:t xml:space="preserve">  FIG. 3. The modules of the inner product of two MES spinors</w:t>
        <w:br/>
        <w:t xml:space="preserve">  &lt;formula&gt;...&lt;formula/&gt;</w:t>
        <w:br/>
        <w:t xml:space="preserve">  ...</w:t>
        <w:br/>
        <w:t>&lt;/caption&gt;</w:t>
        <w:br/>
        <w:t/>
        <w:br/>
        <w:t>&lt;text&gt;</w:t>
        <w:br/>
        <w:t xml:space="preserve">  &lt;location value="90"/&gt;&lt;location value="100"/&gt;</w:t>
        <w:br/>
        <w:t xml:space="preserve">  &lt;location value="110"/&gt;&lt;location value="120"/&gt;</w:t>
        <w:br/>
        <w:t xml:space="preserve">  &lt;thread thread_id="1"/&gt;</w:t>
        <w:br/>
        <w:t/>
        <w:br/>
        <w:t xml:space="preserve">  mal direction of the boundary tangent for arbitrary angle θ is</w:t>
        <w:br/>
        <w:t xml:space="preserve">  &lt;formula&gt;ˆx⊥ = (cos θ, sin θ)&lt;/formula&gt;</w:t>
        <w:br/>
        <w:t xml:space="preserve">  . Next, we assume an ansatz for the edge state wave function at θ as</w:t>
        <w:br/>
        <w:t xml:space="preserve">	&lt;formula&gt;Ψu/l(x⊥) =eλx⊥ eik∥ x∥ ξu/l &lt;/formula&gt;</w:t>
        <w:br/>
        <w:t xml:space="preserve">	with</w:t>
        <w:br/>
        <w:t xml:space="preserve">	&lt;formula&gt;k∥ = sin θkx − cos θky&lt;/formula&gt;</w:t>
        <w:br/>
        <w:t xml:space="preserve">	Here, |ξu⟩ and |ξl⟩ represent the spinors ...  of the chiral MESs with</w:t>
        <w:br/>
        <w:t xml:space="preserve">	&lt;formula&gt;φu = 0&lt;/formula&gt;</w:t>
        <w:br/>
        <w:t xml:space="preserve">    and</w:t>
        <w:br/>
        <w:t xml:space="preserve">	&lt;formula&gt;φl = φ:&lt;/formula&gt;</w:t>
        <w:br/>
        <w:t>&lt;/text&gt;</w:t>
      </w:r>
    </w:p>
    <w:p>
      <w:pPr>
        <w:pStyle w:val="Heading4"/>
      </w:pPr>
      <w:r>
        <w:t>Cross-page structure example</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cross_page_00.png"/>
                    <pic:cNvPicPr/>
                  </pic:nvPicPr>
                  <pic:blipFill>
                    <a:blip r:embed="rId28"/>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pPr>
        <w:pStyle w:val="Heading4"/>
      </w:pPr>
      <w:r>
        <w:t>Split table example</w:t>
      </w:r>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token, </w:t>
      </w:r>
      <w:r>
        <w:rPr>
          <w:rFonts w:ascii="Consolas" w:hAnsi="Consolas"/>
          <w:shd w:val="clear" w:color="auto" w:fill="F2F2F2"/>
        </w:rPr>
        <w:t>h_thread</w:t>
      </w:r>
      <w:r>
        <w:t>, which is used to capture table content that spans pages sidewise,</w:t>
      </w:r>
    </w:p>
    <w:p>
      <w:r>
        <w:t xml:space="preserve">similarly to the usual thread tokens </w:t>
      </w:r>
      <w:r>
        <w:rPr>
          <w:rFonts w:ascii="Consolas" w:hAnsi="Consolas"/>
          <w:shd w:val="clear" w:color="auto" w:fill="F2F2F2"/>
        </w:rPr>
        <w:t>thread</w:t>
      </w:r>
      <w:r>
        <w:t>.</w:t>
      </w:r>
    </w:p>
    <w:p>
      <w:pPr>
        <w:pStyle w:val="ListBullet"/>
        <w:ind w:left="360" w:hanging="360"/>
      </w:pPr>
      <w:r>
        <w:t>Only the content that is visible within the page is included in the OTSL token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token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pPr>
        <w:pStyle w:val="Heading3"/>
      </w:pPr>
      <w:r>
        <w:t>Formatting</w:t>
      </w:r>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Hyperlinks</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The formula for water is H&lt;subscript&gt;2&lt;/subscript&gt;O, and</w:t>
        <w:br/>
        <w:t xml:space="preserve">  Einstein's equation is E=mc&lt;superscript&gt;2&lt;/superscript&gt;.</w:t>
        <w:br/>
        <w:t>&lt;/text&gt;</w:t>
      </w:r>
    </w:p>
    <w:p>
      <w:r>
        <w:t>Hyperlinks with URI and optional formatted content:</w:t>
      </w:r>
    </w:p>
    <w:p>
      <w:pPr>
        <w:shd w:val="clear" w:color="auto" w:fill="F2F2F2"/>
      </w:pPr>
      <w:r>
        <w:rPr>
          <w:rFonts w:ascii="Consolas" w:hAnsi="Consolas"/>
          <w:sz w:val="18"/>
        </w:rPr>
        <w:t>&lt;text&gt;</w:t>
        <w:br/>
        <w:t xml:space="preserve">  Visit our &lt;hyperlink&gt;&lt;uri&gt;https://www.example.com&lt;/uri&gt;website&lt;/hyperlink&gt; for more information.</w:t>
        <w:br/>
        <w:t>&lt;/text&gt;</w:t>
        <w:br/>
        <w:t/>
        <w:br/>
        <w:t>&lt;text&gt;</w:t>
        <w:br/>
        <w:t xml:space="preserve">  For details, see the &lt;hyperlink&gt;&lt;uri&gt;https://docs.example.com/api&lt;/uri&gt;&lt;bold&gt;API documentation&lt;/bold&gt;&lt;/hyperlink&gt;.</w:t>
        <w:br/>
        <w:t>&lt;/text&gt;</w:t>
        <w:br/>
        <w:t/>
        <w:br/>
        <w:t>&lt;text&gt;</w:t>
        <w:br/>
        <w:t xml:space="preserve">  Email us at &lt;hyperlink&gt;&lt;uri&gt;mailto:info@example.com&lt;/uri&gt;info@example.com&lt;/hyperlink&gt;.</w:t>
        <w:br/>
        <w:t>&lt;/text&gt;</w:t>
      </w:r>
    </w:p>
    <w:p>
      <w:r>
        <w:t xml:space="preserve">The </w:t>
      </w:r>
      <w:r>
        <w:rPr>
          <w:rFonts w:ascii="Consolas" w:hAnsi="Consolas"/>
          <w:shd w:val="clear" w:color="auto" w:fill="F2F2F2"/>
        </w:rPr>
        <w:t>hyperlink</w:t>
      </w:r>
      <w:r>
        <w:t xml:space="preserve"> element contains:</w:t>
      </w:r>
    </w:p>
    <w:p>
      <w:pPr>
        <w:pStyle w:val="ListNumber"/>
        <w:ind w:left="360" w:hanging="360"/>
      </w:pPr>
      <w:r>
        <w:t xml:space="preserve">A required </w:t>
      </w:r>
      <w:r>
        <w:rPr>
          <w:rFonts w:ascii="Consolas" w:hAnsi="Consolas"/>
          <w:shd w:val="clear" w:color="auto" w:fill="F2F2F2"/>
        </w:rPr>
        <w:t>uri</w:t>
      </w:r>
      <w:r>
        <w:t xml:space="preserve"> child element with the link target</w:t>
      </w:r>
    </w:p>
    <w:p>
      <w:pPr>
        <w:pStyle w:val="ListNumber"/>
        <w:ind w:left="360" w:hanging="360"/>
      </w:pPr>
      <w:r>
        <w:t>Optional text content and/or formatting elements that represent the visible link text</w:t>
      </w:r>
    </w:p>
    <w:p>
      <w:r>
        <w:t xml:space="preserve">If no text content is provided after the </w:t>
      </w:r>
      <w:r>
        <w:rPr>
          <w:rFonts w:ascii="Consolas" w:hAnsi="Consolas"/>
          <w:shd w:val="clear" w:color="auto" w:fill="F2F2F2"/>
        </w:rPr>
        <w:t>uri</w:t>
      </w:r>
      <w:r>
        <w:t>, implementations should display the URI itself as the link text.</w:t>
      </w:r>
    </w:p>
    <w:p>
      <w:r>
        <w:t>Right-to-left text direction:</w:t>
      </w:r>
    </w:p>
    <w:p>
      <w:pPr>
        <w:shd w:val="clear" w:color="auto" w:fill="F2F2F2"/>
      </w:pPr>
      <w:r>
        <w:rPr>
          <w:rFonts w:ascii="Consolas" w:hAnsi="Consolas"/>
          <w:sz w:val="18"/>
        </w:rPr>
        <w:t>&lt;text&gt;</w:t>
        <w:br/>
        <w:t xml:space="preserve">  This sentence contains &lt;rtl&gt;نص عربي&lt;/rtl&gt; (Arabic text) within it.</w:t>
        <w:br/>
        <w:t>&lt;/text&gt;</w:t>
      </w:r>
    </w:p>
    <w:p>
      <w:pPr>
        <w:pStyle w:val="Heading4"/>
      </w:pPr>
      <w:r>
        <w:t>Page Break with Continuation</w:t>
      </w:r>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the item and reuse the same </w:t>
      </w:r>
      <w:r>
        <w:rPr>
          <w:rFonts w:ascii="Consolas" w:hAnsi="Consolas"/>
          <w:shd w:val="clear" w:color="auto" w:fill="F2F2F2"/>
        </w:rPr>
        <w:t>id</w:t>
      </w:r>
      <w:r>
        <w:t xml:space="preserve"> in the continuing item.</w:t>
      </w:r>
    </w:p>
    <w:p>
      <w:pPr>
        <w:pStyle w:val="ListNumber"/>
        <w:ind w:left="360" w:hanging="360"/>
      </w:pPr>
      <w:r>
        <w:t xml:space="preserve">For the follow up content of the page, we follow a reading order and close all open tokens before the </w:t>
      </w:r>
      <w:r>
        <w:rPr>
          <w:rFonts w:ascii="Consolas" w:hAnsi="Consolas"/>
          <w:shd w:val="clear" w:color="auto" w:fill="F2F2F2"/>
        </w:rPr>
        <w:t>&lt;page_break/&gt;</w:t>
      </w:r>
      <w:r>
        <w:t xml:space="preserve"> token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pPr>
        <w:pStyle w:val="Heading2"/>
      </w:pPr>
      <w:r>
        <w:t>Bibliography</w:t>
      </w:r>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pPr>
        <w:pStyle w:val="Heading2"/>
      </w:pPr>
      <w:r>
        <w:t>Appendix A: Reference</w:t>
      </w:r>
    </w:p>
    <w:p>
      <w:pPr>
        <w:pStyle w:val="Heading3"/>
      </w:pPr>
      <w:r>
        <w:t>Special Elements</w:t>
      </w:r>
    </w:p>
    <w:p>
      <w:r>
        <w:t>This category comprises elements with specialized document-level function.</w:t>
      </w:r>
    </w:p>
    <w:p>
      <w:pPr>
        <w:pStyle w:val="Heading4"/>
      </w:pPr>
      <w:r>
        <w:t>&lt;doclang&gt;</w:t>
      </w:r>
    </w:p>
    <w:p>
      <w:r>
        <w:t xml:space="preserve">The document root element. Starts with an optional </w:t>
      </w:r>
      <w:r>
        <w:rPr>
          <w:rFonts w:ascii="Consolas" w:hAnsi="Consolas"/>
          <w:shd w:val="clear" w:color="auto" w:fill="F2F2F2"/>
        </w:rPr>
        <w:t>&lt;head&gt;</w:t>
      </w:r>
      <w:r>
        <w:t xml:space="preserve"> followed by a sequence of applicable elements.</w:t>
      </w:r>
    </w:p>
    <w:p>
      <w:pPr>
        <w:pStyle w:val="Heading5"/>
      </w:pPr>
      <w:r>
        <w:t>Allowed Context</w:t>
      </w:r>
    </w:p>
    <w:p>
      <w:r>
        <w:t>Exists exactly once, as root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"0.2"</w:t>
            </w:r>
          </w:p>
        </w:tc>
        <w:tc>
          <w:tcPr>
            <w:tcW w:type="dxa" w:w="2160"/>
          </w:tcPr>
          <w:p>
            <w:r/>
            <w:r>
              <w:t>{"0.2"}</w:t>
            </w:r>
          </w:p>
        </w:tc>
        <w:tc>
          <w:tcPr>
            <w:tcW w:type="dxa" w:w="2160"/>
          </w:tcPr>
          <w:p>
            <w:r/>
            <w:r>
              <w:t>The DocLang specification version the document is supposed to validate against, in "MAJOR.MINOR" format, i.e. first two positions of Semantic Verisoning.</w:t>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5"/>
      </w:pPr>
      <w:r>
        <w:t>Example</w:t>
      </w:r>
    </w:p>
    <w:p>
      <w:pPr>
        <w:shd w:val="clear" w:color="auto" w:fill="F2F2F2"/>
      </w:pPr>
      <w:r>
        <w:rPr>
          <w:rFonts w:ascii="Consolas" w:hAnsi="Consolas"/>
          <w:sz w:val="18"/>
        </w:rPr>
        <w:t>&lt;doclang&gt;</w:t>
        <w:br/>
        <w:t xml:space="preserve">  &lt;!-- content --&gt;</w:t>
        <w:br/>
        <w:t>&lt;/doclang&gt;</w:t>
      </w:r>
    </w:p>
    <w:p>
      <w:pPr>
        <w:pStyle w:val="Heading4"/>
      </w:pPr>
      <w:r>
        <w:t>&lt;head&gt;</w:t>
      </w:r>
    </w:p>
    <w:p>
      <w:r>
        <w:t>Includes doc-level metadata. Also discussed in Appendix B.</w:t>
      </w:r>
    </w:p>
    <w:p>
      <w:pPr>
        <w:pStyle w:val="Heading5"/>
      </w:pPr>
      <w:r>
        <w:t>Allowed Context</w:t>
      </w:r>
    </w:p>
    <w:p>
      <w:r>
        <w:t xml:space="preserve">Can only be first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&lt;page_break&gt;</w:t>
      </w:r>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r>
        <w:t>document body</w:t>
      </w:r>
      <w:r>
        <w:t xml:space="preserve">, i.e. would be a valid DocLang document if wrapped in a </w:t>
      </w:r>
      <w:r>
        <w:rPr>
          <w:rFonts w:ascii="Consolas" w:hAnsi="Consolas"/>
          <w:shd w:val="clear" w:color="auto" w:fill="F2F2F2"/>
        </w:rPr>
        <w:t>doclang</w:t>
      </w:r>
      <w:r>
        <w:t xml:space="preserve"> root element.</w:t>
      </w:r>
    </w:p>
    <w:p>
      <w:pPr>
        <w:pStyle w:val="Heading5"/>
      </w:pPr>
      <w:r>
        <w:t>Allowed Context</w:t>
      </w:r>
    </w:p>
    <w:p>
      <w:r>
        <w:t xml:space="preserve">Can only be child of </w:t>
      </w:r>
      <w:r>
        <w:rPr>
          <w:rFonts w:ascii="Consolas" w:hAnsi="Consolas"/>
          <w:shd w:val="clear" w:color="auto" w:fill="F2F2F2"/>
        </w:rPr>
        <w:t>&lt;doclang&gt;</w:t>
      </w:r>
      <w:r>
        <w:t>.</w:t>
      </w:r>
    </w:p>
    <w:p>
      <w:pPr>
        <w:pStyle w:val="Heading5"/>
      </w:pPr>
      <w:r>
        <w:t>Attributes</w:t>
      </w:r>
    </w:p>
    <w:p>
      <w:r>
        <w:t>None</w:t>
      </w:r>
    </w:p>
    <w:p>
      <w:pPr>
        <w:pStyle w:val="Heading5"/>
      </w:pPr>
      <w:r>
        <w:t>Allowed Content Types</w:t>
      </w:r>
    </w:p>
    <w:p>
      <w:r>
        <w:t>None (empty element).</w:t>
      </w:r>
    </w:p>
    <w:p>
      <w:pPr>
        <w:pStyle w:val="Heading5"/>
      </w:pPr>
      <w:r>
        <w:t>Example</w:t>
      </w:r>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pPr>
        <w:pStyle w:val="Heading3"/>
      </w:pPr>
      <w:r>
        <w:t>Semantic Elements</w:t>
      </w:r>
    </w:p>
    <w:p>
      <w:r>
        <w:t xml:space="preserve">Semantic elements capture core components with specific meaning and functional role in the document, for example, a paragraph, a table, a list, and more. Any semantic element may optionally begin with a </w:t>
      </w:r>
      <w:r>
        <w:t>component head</w:t>
      </w:r>
      <w:r>
        <w:t>. Semantic elements are generally meant to be interpreted as block-level elements (although they can also be inlined via nesting).</w:t>
      </w:r>
    </w:p>
    <w:p>
      <w:pPr>
        <w:pStyle w:val="Heading4"/>
      </w:pPr>
      <w:r>
        <w:t>&lt;text&gt;</w:t>
      </w:r>
    </w:p>
    <w:p>
      <w:r>
        <w:t xml:space="preserve">Represents a piece of cohesive text as that would appear in a paragraph. Note: a special construct related to this element is the so-called "virtual </w:t>
      </w:r>
      <w:r>
        <w:rPr>
          <w:rFonts w:ascii="Consolas" w:hAnsi="Consolas"/>
          <w:shd w:val="clear" w:color="auto" w:fill="F2F2F2"/>
        </w:rPr>
        <w:t>&lt;text&gt;</w:t>
      </w:r>
      <w:r>
        <w:t xml:space="preserve">", which can occur only as a list item or a table cell — see </w:t>
      </w:r>
      <w:r>
        <w:rPr>
          <w:rFonts w:ascii="Consolas" w:hAnsi="Consolas"/>
          <w:shd w:val="clear" w:color="auto" w:fill="F2F2F2"/>
        </w:rPr>
        <w:t>&lt;list&gt;</w:t>
      </w:r>
      <w:r>
        <w:t xml:space="preserve"> and </w:t>
      </w:r>
      <w:r>
        <w:rPr>
          <w:rFonts w:ascii="Consolas" w:hAnsi="Consolas"/>
          <w:shd w:val="clear" w:color="auto" w:fill="F2F2F2"/>
        </w:rPr>
        <w:t>&lt;table&gt;</w:t>
      </w:r>
      <w:r>
        <w:t xml:space="preserve"> below for details.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&lt;heading&gt;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Non-negative integer</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&lt;caption&gt;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&lt;footnote&gt;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&lt;page_header&gt;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&lt;page_footer&gt;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&lt;field_region&gt;</w:t>
      </w:r>
    </w:p>
    <w:p>
      <w:r>
        <w:t>Serves for scoping of field items, for example encapsulating a whole form.</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&lt;list&gt;</w:t>
      </w:r>
    </w:p>
    <w:p>
      <w:r>
        <w:t xml:space="preserve">Captures a list. List items are delimited by the respective structural elements. A list item can be defined without a wrapping tag, i.e. as pure (optional) component head followed by raw text; this is called an "virtual </w:t>
      </w:r>
      <w:r>
        <w:rPr>
          <w:rFonts w:ascii="Consolas" w:hAnsi="Consolas"/>
          <w:shd w:val="clear" w:color="auto" w:fill="F2F2F2"/>
        </w:rPr>
        <w:t>&lt;text&gt;</w:t>
      </w:r>
      <w:r>
        <w:t xml:space="preserve">" and is handled exactly like a regular </w:t>
      </w:r>
      <w:r>
        <w:rPr>
          <w:rFonts w:ascii="Consolas" w:hAnsi="Consolas"/>
          <w:shd w:val="clear" w:color="auto" w:fill="F2F2F2"/>
        </w:rPr>
        <w:t>&lt;text&gt;</w:t>
      </w:r>
      <w:r>
        <w:t xml:space="preserve"> element.</w:t>
      </w:r>
    </w:p>
    <w:p>
      <w:pPr>
        <w:pStyle w:val="Heading5"/>
      </w:pPr>
      <w:r>
        <w:t>Allowed Context</w:t>
      </w:r>
    </w:p>
    <w:p>
      <w:r>
        <w:t>Any context that allows semantic elements.</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 xml:space="preserve">TRUE, also on cell level in case of virtual </w:t>
            </w:r>
            <w:r>
              <w:rPr>
                <w:rFonts w:ascii="Consolas" w:hAnsi="Consolas"/>
                <w:shd w:val="clear" w:color="auto" w:fill="F2F2F2"/>
              </w:rPr>
              <w:t>&lt;text&gt;</w:t>
            </w:r>
          </w:p>
        </w:tc>
      </w:tr>
      <w:tr>
        <w:tc>
          <w:tcPr>
            <w:tcW w:type="dxa" w:w="4320"/>
          </w:tcPr>
          <w:p>
            <w:r/>
            <w:r>
              <w:t>Raw text</w:t>
            </w:r>
          </w:p>
        </w:tc>
        <w:tc>
          <w:tcPr>
            <w:tcW w:type="dxa" w:w="4320"/>
          </w:tcPr>
          <w:p>
            <w:r/>
            <w:r>
              <w:t xml:space="preserve">Only on cell level, in case of virtual </w:t>
            </w:r>
            <w:r>
              <w:rPr>
                <w:rFonts w:ascii="Consolas" w:hAnsi="Consolas"/>
                <w:shd w:val="clear" w:color="auto" w:fill="F2F2F2"/>
              </w:rPr>
              <w:t>&lt;text&gt;</w:t>
            </w:r>
          </w:p>
        </w:tc>
      </w:tr>
      <w:tr>
        <w:tc>
          <w:tcPr>
            <w:tcW w:type="dxa" w:w="4320"/>
          </w:tcPr>
          <w:p>
            <w:r/>
            <w:r>
              <w:t>Semantic elements</w:t>
            </w:r>
          </w:p>
        </w:tc>
        <w:tc>
          <w:tcPr>
            <w:tcW w:type="dxa" w:w="4320"/>
          </w:tcPr>
          <w:p>
            <w:r/>
            <w:r>
              <w:t>Allowed</w:t>
            </w:r>
          </w:p>
        </w:tc>
      </w:tr>
    </w:tbl>
    <w:p>
      <w:pPr>
        <w:pStyle w:val="Heading4"/>
      </w:pPr>
      <w:r>
        <w:t>&lt;table&gt;</w:t>
      </w:r>
    </w:p>
    <w:p>
      <w:r>
        <w:t xml:space="preserve">Captures a table, in a format inspired by OTSL. Table cells are delimited by the respective structural elements. A table cell can be defined without a wrapping tag, i.e. as pure (optional) component head followed by raw text; this is called an "virtual </w:t>
      </w:r>
      <w:r>
        <w:rPr>
          <w:rFonts w:ascii="Consolas" w:hAnsi="Consolas"/>
          <w:shd w:val="clear" w:color="auto" w:fill="F2F2F2"/>
        </w:rPr>
        <w:t>&lt;text&gt;</w:t>
      </w:r>
      <w:r>
        <w:t xml:space="preserve">" and is handled exactly like a regular </w:t>
      </w:r>
      <w:r>
        <w:rPr>
          <w:rFonts w:ascii="Consolas" w:hAnsi="Consolas"/>
          <w:shd w:val="clear" w:color="auto" w:fill="F2F2F2"/>
        </w:rPr>
        <w:t>&lt;text&gt;</w:t>
      </w:r>
      <w:r>
        <w:t xml:space="preserve"> element.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 xml:space="preserve">TRUE, also on cell level in case of virtual </w:t>
            </w:r>
            <w:r>
              <w:rPr>
                <w:rFonts w:ascii="Consolas" w:hAnsi="Consolas"/>
                <w:shd w:val="clear" w:color="auto" w:fill="F2F2F2"/>
              </w:rPr>
              <w:t>&lt;text&gt;</w:t>
            </w:r>
          </w:p>
        </w:tc>
      </w:tr>
      <w:tr>
        <w:tc>
          <w:tcPr>
            <w:tcW w:type="dxa" w:w="4320"/>
          </w:tcPr>
          <w:p>
            <w:r/>
            <w:r>
              <w:t>Raw text</w:t>
            </w:r>
          </w:p>
        </w:tc>
        <w:tc>
          <w:tcPr>
            <w:tcW w:type="dxa" w:w="4320"/>
          </w:tcPr>
          <w:p>
            <w:r/>
            <w:r>
              <w:t xml:space="preserve">Only on cell level, in case of virtual </w:t>
            </w:r>
            <w:r>
              <w:rPr>
                <w:rFonts w:ascii="Consolas" w:hAnsi="Consolas"/>
                <w:shd w:val="clear" w:color="auto" w:fill="F2F2F2"/>
              </w:rPr>
              <w:t>&lt;text&gt;</w:t>
            </w:r>
          </w:p>
        </w:tc>
      </w:tr>
      <w:tr>
        <w:tc>
          <w:tcPr>
            <w:tcW w:type="dxa" w:w="4320"/>
          </w:tcPr>
          <w:p>
            <w:r/>
            <w:r>
              <w:t>Semantic elements</w:t>
            </w:r>
          </w:p>
        </w:tc>
        <w:tc>
          <w:tcPr>
            <w:tcW w:type="dxa" w:w="4320"/>
          </w:tcPr>
          <w:p>
            <w:r/>
            <w:r>
              <w:t>Allowed</w:t>
            </w:r>
          </w:p>
        </w:tc>
      </w:tr>
    </w:tbl>
    <w:p>
      <w:pPr>
        <w:pStyle w:val="Heading4"/>
      </w:pPr>
      <w:r>
        <w:t>&lt;formula&gt;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&lt;code&gt;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&lt;picture&gt;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&lt;marker&gt;</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&lt;group&gt;</w:t>
      </w:r>
    </w:p>
    <w:p>
      <w:r>
        <w:t>Container for encapsulating multiple semantic elements.</w:t>
      </w:r>
    </w:p>
    <w:p>
      <w:pPr>
        <w:pStyle w:val="Heading5"/>
      </w:pPr>
      <w:r>
        <w:t>Allowed Context</w:t>
      </w:r>
    </w:p>
    <w:p>
      <w:r>
        <w:t>Any context that allows semantic elements.</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&lt;field_heading&gt;</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&lt;field_item&gt;</w:t>
      </w:r>
    </w:p>
    <w:p>
      <w:r>
        <w:t>Scoping of a field key (optional) and any corresponding values.</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Allowed</w:t>
            </w:r>
          </w:p>
        </w:tc>
      </w:tr>
    </w:tbl>
    <w:p>
      <w:pPr>
        <w:pStyle w:val="Heading4"/>
      </w:pPr>
      <w:r>
        <w:t>&lt;key&gt;</w:t>
      </w:r>
    </w:p>
    <w:p>
      <w:r>
        <w:t>The key of a field (may correspond to  0-N field values).</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&lt;value&gt;</w:t>
      </w:r>
    </w:p>
    <w:p>
      <w:r>
        <w:t>A value of a field (may correspond to 0 or 1 field key).</w:t>
      </w:r>
    </w:p>
    <w:p>
      <w:pPr>
        <w:pStyle w:val="Heading5"/>
      </w:pPr>
      <w:r>
        <w:t>Allowed Context</w:t>
      </w:r>
    </w:p>
    <w:p>
      <w:r>
        <w:t xml:space="preserve">Can only be descendant of </w:t>
      </w:r>
      <w:r>
        <w:rPr>
          <w:rFonts w:ascii="Consolas" w:hAnsi="Consolas"/>
          <w:shd w:val="clear" w:color="auto" w:fill="F2F2F2"/>
        </w:rPr>
        <w:t>&lt;field_item&gt;</w:t>
      </w:r>
      <w:r>
        <w: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4"/>
      </w:pPr>
      <w:r>
        <w:t>&lt;hint&gt;</w:t>
      </w:r>
    </w:p>
    <w:p>
      <w:r>
        <w:t>A hint regarding a field.</w:t>
      </w:r>
    </w:p>
    <w:p>
      <w:pPr>
        <w:pStyle w:val="Heading5"/>
      </w:pPr>
      <w:r>
        <w:t>Allowed Context</w:t>
      </w:r>
    </w:p>
    <w:p>
      <w:r>
        <w:t xml:space="preserve">Can only be descendant of </w:t>
      </w:r>
      <w:r>
        <w:rPr>
          <w:rFonts w:ascii="Consolas" w:hAnsi="Consolas"/>
          <w:shd w:val="clear" w:color="auto" w:fill="F2F2F2"/>
        </w:rPr>
        <w:t>&lt;field_region&gt;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Allowed</w:t>
            </w:r>
          </w:p>
        </w:tc>
      </w:tr>
    </w:tbl>
    <w:p>
      <w:pPr>
        <w:pStyle w:val="Heading3"/>
      </w:pPr>
      <w:r>
        <w:t>Component Head Elements</w:t>
      </w:r>
    </w:p>
    <w:p>
      <w:r>
        <w:t>The component head is a sequence comprising the following elements in this order, whereby all elements are optional:</w:t>
      </w:r>
      <w:r>
        <w:br/>
      </w:r>
    </w:p>
    <w:p>
      <w:pPr>
        <w:pStyle w:val="ListBullet"/>
      </w:pPr>
      <w:r>
        <w:rPr>
          <w:rFonts w:ascii="Consolas" w:hAnsi="Consolas"/>
          <w:shd w:val="clear" w:color="auto" w:fill="F2F2F2"/>
        </w:rPr>
        <w:t>&lt;thread&gt;</w:t>
      </w:r>
    </w:p>
    <w:p>
      <w:pPr>
        <w:pStyle w:val="ListBullet"/>
      </w:pPr>
      <w:r>
        <w:rPr>
          <w:rFonts w:ascii="Consolas" w:hAnsi="Consolas"/>
          <w:shd w:val="clear" w:color="auto" w:fill="F2F2F2"/>
        </w:rPr>
        <w:t>&lt;h_thread&gt;</w:t>
      </w:r>
    </w:p>
    <w:p>
      <w:pPr>
        <w:pStyle w:val="ListBullet"/>
      </w:pPr>
      <w:r>
        <w:rPr>
          <w:rFonts w:ascii="Consolas" w:hAnsi="Consolas"/>
          <w:shd w:val="clear" w:color="auto" w:fill="F2F2F2"/>
        </w:rPr>
        <w:t>&lt;meta&gt;</w:t>
      </w:r>
    </w:p>
    <w:p>
      <w:pPr>
        <w:pStyle w:val="ListBullet"/>
      </w:pPr>
      <w:r>
        <w:t xml:space="preserve">sequence of 2*N </w:t>
      </w:r>
      <w:r>
        <w:rPr>
          <w:rFonts w:ascii="Consolas" w:hAnsi="Consolas"/>
          <w:shd w:val="clear" w:color="auto" w:fill="F2F2F2"/>
        </w:rPr>
        <w:t>&lt;location&gt;</w:t>
      </w:r>
      <w:r>
        <w:t>s (N&gt;1)</w:t>
      </w:r>
    </w:p>
    <w:p>
      <w:pPr>
        <w:pStyle w:val="ListBullet"/>
      </w:pPr>
      <w:r>
        <w:t xml:space="preserve">sequence of </w:t>
      </w:r>
      <w:r>
        <w:rPr>
          <w:rFonts w:ascii="Consolas" w:hAnsi="Consolas"/>
          <w:shd w:val="clear" w:color="auto" w:fill="F2F2F2"/>
        </w:rPr>
        <w:t>&lt;timestamp&gt;</w:t>
      </w:r>
      <w:r>
        <w:t>s</w:t>
      </w:r>
    </w:p>
    <w:p>
      <w:pPr>
        <w:pStyle w:val="ListBullet"/>
      </w:pPr>
      <w:r>
        <w:rPr>
          <w:rFonts w:ascii="Consolas" w:hAnsi="Consolas"/>
          <w:shd w:val="clear" w:color="auto" w:fill="F2F2F2"/>
        </w:rPr>
        <w:t>&lt;layer&gt;</w:t>
      </w:r>
    </w:p>
    <w:p>
      <w:r>
        <w:t>A component head can only appear as the leading content of a semantic element. The various component head elements are further specified in the following subsections.</w:t>
      </w:r>
    </w:p>
    <w:p>
      <w:pPr>
        <w:pStyle w:val="Heading4"/>
      </w:pPr>
      <w:r>
        <w:t>&lt;thread&gt;</w:t>
      </w:r>
    </w:p>
    <w:p>
      <w:r>
        <w:t>Optional part of the component head; serves for capturing a component spanning multiple bounding boxes (e.g. cross-column) or pages.</w:t>
      </w:r>
      <w:r>
        <w:br/>
      </w:r>
      <w:r>
        <w:t xml:space="preserve">To capture such a component, we define separate instances of the respective element and use a </w:t>
      </w:r>
      <w:r>
        <w:rPr>
          <w:rFonts w:ascii="Consolas" w:hAnsi="Consolas"/>
          <w:shd w:val="clear" w:color="auto" w:fill="F2F2F2"/>
        </w:rPr>
        <w:t>&lt;thread&gt;</w:t>
      </w:r>
      <w:r>
        <w:t xml:space="preserve"> with the same </w:t>
      </w:r>
      <w:r>
        <w:rPr>
          <w:rFonts w:ascii="Consolas" w:hAnsi="Consolas"/>
          <w:shd w:val="clear" w:color="auto" w:fill="F2F2F2"/>
        </w:rPr>
        <w:t>thread_id</w:t>
      </w:r>
      <w:r>
        <w:t xml:space="preserve"> attribute for all of them.</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Postive integer</w:t>
            </w:r>
          </w:p>
        </w:tc>
        <w:tc>
          <w:tcPr>
            <w:tcW w:type="dxa" w:w="2160"/>
          </w:tcPr>
          <w:p>
            <w:r/>
            <w:r>
              <w:t>A string that identifies a thread.</w:t>
            </w:r>
          </w:p>
        </w:tc>
      </w:tr>
    </w:tbl>
    <w:p>
      <w:pPr>
        <w:pStyle w:val="Heading5"/>
      </w:pPr>
      <w:r>
        <w:t>Allowed Content Types</w:t>
      </w:r>
    </w:p>
    <w:p>
      <w:r>
        <w:t>None (empty element).</w:t>
      </w:r>
    </w:p>
    <w:p>
      <w:pPr>
        <w:pStyle w:val="Heading5"/>
      </w:pPr>
      <w:r>
        <w:t>Example</w:t>
      </w:r>
    </w:p>
    <w:p>
      <w:pPr>
        <w:pStyle w:val="Heading6"/>
      </w:pPr>
      <w:r>
        <w:t>Show document picture</w:t>
      </w:r>
    </w:p>
    <w:p>
      <w:r>
        <w:t>&lt;img src="reference/input/examples/thread.png" width="700"&gt;</w:t>
      </w:r>
    </w:p>
    <w:p>
      <w:pPr>
        <w:shd w:val="clear" w:color="auto" w:fill="F2F2F2"/>
      </w:pPr>
      <w:r>
        <w:rPr>
          <w:rFonts w:ascii="Consolas" w:hAnsi="Consolas"/>
          <w:sz w:val="18"/>
        </w:rPr>
        <w:t>&lt;doclang&gt;</w:t>
        <w:br/>
        <w:t xml:space="preserve">  &lt;!-- ... --&gt;</w:t>
        <w:br/>
        <w:t xml:space="preserve">  &lt;text&gt;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 xml:space="preserve">  &lt;/text&gt;</w:t>
        <w:br/>
        <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w:br/>
        <w:t xml:space="preserve">  &lt;text&gt;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 xml:space="preserve">  &lt;/text&gt;</w:t>
        <w:br/>
        <w:t>&lt;/doclang&gt;</w:t>
      </w:r>
    </w:p>
    <w:p>
      <w:pPr>
        <w:pStyle w:val="Heading4"/>
      </w:pPr>
      <w:r>
        <w:t>&lt;h_thread&gt;</w:t>
      </w:r>
    </w:p>
    <w:p>
      <w:r>
        <w:t>Optional part of the component head; serves for capturing a component crossing horizontal boundaries (e.g. table verically split between multiple pages).</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h_thread_id</w:t>
            </w:r>
          </w:p>
        </w:tc>
        <w:tc>
          <w:tcPr>
            <w:tcW w:type="dxa" w:w="2160"/>
          </w:tcPr>
          <w:p>
            <w:r/>
            <w:r>
              <w:t>Required</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&lt;meta&gt;</w:t>
      </w:r>
    </w:p>
    <w:p>
      <w:r>
        <w:t>Used to store additional or derived information regarding the respective component.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&lt;custom_meta&gt;</w:t>
      </w:r>
    </w:p>
    <w:p>
      <w:r>
        <w:t>Custom metadata, e.g. for application-specific purposes.</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&lt;location&gt;</w:t>
      </w:r>
    </w:p>
    <w:p>
      <w:r>
        <w:t>Coordinate system is the bottom-left corner of the page.</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Integer within [0, resolution)</w:t>
            </w:r>
          </w:p>
        </w:tc>
        <w:tc>
          <w:tcPr>
            <w:tcW w:type="dxa" w:w="2160"/>
          </w:tcPr>
          <w:p>
            <w:r/>
          </w:p>
        </w:tc>
      </w:tr>
      <w:tr>
        <w:tc>
          <w:tcPr>
            <w:tcW w:type="dxa" w:w="2160"/>
          </w:tcPr>
          <w:p>
            <w:r/>
            <w:r>
              <w:rPr>
                <w:rFonts w:ascii="Consolas" w:hAnsi="Consolas"/>
                <w:shd w:val="clear" w:color="auto" w:fill="F2F2F2"/>
              </w:rPr>
              <w:t>resolution</w:t>
            </w:r>
          </w:p>
        </w:tc>
        <w:tc>
          <w:tcPr>
            <w:tcW w:type="dxa" w:w="2160"/>
          </w:tcPr>
          <w:p>
            <w:r/>
            <w:r>
              <w:t xml:space="preserve">Optional; defaults to head metadata </w:t>
            </w:r>
            <w:r>
              <w:rPr>
                <w:rFonts w:ascii="Consolas" w:hAnsi="Consolas"/>
                <w:shd w:val="clear" w:color="auto" w:fill="F2F2F2"/>
              </w:rPr>
              <w:t>&lt;default_resolution&gt;</w:t>
            </w:r>
            <w:r>
              <w:t>, otherwise "512"</w:t>
            </w:r>
          </w:p>
        </w:tc>
        <w:tc>
          <w:tcPr>
            <w:tcW w:type="dxa" w:w="2160"/>
          </w:tcPr>
          <w:p>
            <w:r/>
            <w:r>
              <w:t>Postive integer</w:t>
            </w:r>
          </w:p>
        </w:tc>
        <w:tc>
          <w:tcPr>
            <w:tcW w:type="dxa" w:w="2160"/>
          </w:tcPr>
          <w:p>
            <w:r/>
          </w:p>
        </w:tc>
      </w:tr>
    </w:tbl>
    <w:p>
      <w:pPr>
        <w:pStyle w:val="Heading5"/>
      </w:pPr>
      <w:r>
        <w:t>Allowed Content Types</w:t>
      </w:r>
    </w:p>
    <w:p>
      <w:r>
        <w:t>None (empty element).</w:t>
      </w:r>
    </w:p>
    <w:p>
      <w:pPr>
        <w:pStyle w:val="Heading4"/>
      </w:pPr>
      <w:r>
        <w:t>&lt;timestamp&gt;</w:t>
      </w:r>
    </w:p>
    <w:p>
      <w:r>
        <w:t xml:space="preserve">TBD. Needed, if the individual hour/minute/etc are not all required (else cannot unambiguously interpret </w:t>
      </w:r>
      <w:r>
        <w:rPr>
          <w:rFonts w:ascii="Consolas" w:hAnsi="Consolas"/>
          <w:shd w:val="clear" w:color="auto" w:fill="F2F2F2"/>
        </w:rPr>
        <w:t>&lt;hour&gt;0&lt;/hour&gt;&lt;minute&gt;2&lt;/minute&gt;&lt;second&gt;3&lt;/second&gt;</w:t>
      </w:r>
      <w:r>
        <w:t>)</w:t>
      </w:r>
    </w:p>
    <w:p>
      <w:pPr>
        <w:pStyle w:val="Heading5"/>
      </w:pPr>
      <w:r>
        <w:t>Allowed Context</w:t>
      </w:r>
    </w:p>
    <w:p>
      <w:r>
        <w:t>Can only be child of a semantic element.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Not allowed</w:t>
            </w:r>
          </w:p>
        </w:tc>
      </w:tr>
    </w:tbl>
    <w:p>
      <w:pPr>
        <w:pStyle w:val="Heading4"/>
      </w:pPr>
      <w:r>
        <w:t>&lt;hour&gt;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&lt;minute&gt;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&lt;centisecond&gt;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Non-negative integer</w:t>
            </w:r>
          </w:p>
        </w:tc>
        <w:tc>
          <w:tcPr>
            <w:tcW w:type="dxa" w:w="2160"/>
          </w:tcPr>
          <w:p>
            <w:r/>
          </w:p>
        </w:tc>
      </w:tr>
    </w:tbl>
    <w:p>
      <w:pPr>
        <w:pStyle w:val="Heading5"/>
      </w:pPr>
      <w:r>
        <w:t>Allowed Content Types</w:t>
      </w:r>
    </w:p>
    <w:p>
      <w:r>
        <w:t>None (empty element).</w:t>
      </w:r>
    </w:p>
    <w:p>
      <w:pPr>
        <w:pStyle w:val="Heading4"/>
      </w:pPr>
      <w:r>
        <w:t>&lt;layer&gt;</w:t>
      </w:r>
    </w:p>
    <w:p>
      <w:pPr>
        <w:pStyle w:val="Heading5"/>
      </w:pPr>
      <w:r>
        <w:t>Allowed Context</w:t>
      </w:r>
    </w:p>
    <w:p>
      <w:r>
        <w:t>Can only be child of a semantic element.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"body"</w:t>
            </w:r>
          </w:p>
        </w:tc>
        <w:tc>
          <w:tcPr>
            <w:tcW w:type="dxa" w:w="2160"/>
          </w:tcPr>
          <w:p>
            <w:r/>
            <w:r>
              <w:t>{"body", "furniture", "background", "invisible", "notes"}</w:t>
            </w:r>
          </w:p>
        </w:tc>
        <w:tc>
          <w:tcPr>
            <w:tcW w:type="dxa" w:w="2160"/>
          </w:tcPr>
          <w:p>
            <w:r/>
          </w:p>
        </w:tc>
      </w:tr>
    </w:tbl>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&lt;classification&gt;</w:t>
      </w:r>
    </w:p>
    <w:p>
      <w:pPr>
        <w:pStyle w:val="Heading5"/>
      </w:pPr>
      <w:r>
        <w:t>Allowed Context</w:t>
      </w:r>
    </w:p>
    <w:p>
      <w:r>
        <w:t xml:space="preserve">Can only be child of </w:t>
      </w:r>
      <w:r>
        <w:rPr>
          <w:rFonts w:ascii="Consolas" w:hAnsi="Consolas"/>
          <w:shd w:val="clear" w:color="auto" w:fill="F2F2F2"/>
        </w:rPr>
        <w:t>&lt;meta&gt;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Payload Elements</w:t>
      </w:r>
    </w:p>
    <w:p>
      <w:r>
        <w:t>Payload elements are low-level elements that help define the effective content of another element.</w:t>
      </w:r>
    </w:p>
    <w:p>
      <w:pPr>
        <w:pStyle w:val="Heading4"/>
      </w:pPr>
      <w:r>
        <w:t>&lt;uri&gt;</w:t>
      </w:r>
    </w:p>
    <w:p>
      <w:r>
        <w:t>Textual content must be a URI.</w:t>
      </w:r>
    </w:p>
    <w:p>
      <w:pPr>
        <w:pStyle w:val="Heading5"/>
      </w:pPr>
      <w:r>
        <w:t>Allowed Context</w:t>
      </w:r>
    </w:p>
    <w:p>
      <w:r>
        <w:t xml:space="preserve">Can only be child of </w:t>
      </w:r>
      <w:r>
        <w:rPr>
          <w:rFonts w:ascii="Consolas" w:hAnsi="Consolas"/>
          <w:shd w:val="clear" w:color="auto" w:fill="F2F2F2"/>
        </w:rPr>
        <w:t>&lt;picture&gt;</w:t>
      </w:r>
      <w:r>
        <w:t xml:space="preserve"> or first child of </w:t>
      </w:r>
      <w:r>
        <w:rPr>
          <w:rFonts w:ascii="Consolas" w:hAnsi="Consolas"/>
          <w:shd w:val="clear" w:color="auto" w:fill="F2F2F2"/>
        </w:rPr>
        <w:t>&lt;hyperlink&gt;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&lt;checkbox&gt;</w:t>
      </w:r>
    </w:p>
    <w:p>
      <w:pPr>
        <w:pStyle w:val="Heading5"/>
      </w:pPr>
      <w:r>
        <w:t>Allowed Context</w:t>
      </w:r>
    </w:p>
    <w:p>
      <w:r>
        <w:t>Any context that allows raw text content.</w:t>
      </w:r>
    </w:p>
    <w:p>
      <w:pPr>
        <w:pStyle w:val="Heading5"/>
      </w:pPr>
      <w:r>
        <w:t>Attributes</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pPr>
        <w:pStyle w:val="Heading5"/>
      </w:pPr>
      <w:r>
        <w:t>Allowed Content Types</w:t>
      </w:r>
    </w:p>
    <w:p>
      <w:r>
        <w:t>None (empty element).</w:t>
      </w:r>
    </w:p>
    <w:p>
      <w:pPr>
        <w:pStyle w:val="Heading4"/>
      </w:pPr>
      <w:r>
        <w:t>&lt;content&gt;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Formatting Elements</w:t>
      </w:r>
    </w:p>
    <w:p>
      <w:r>
        <w:t>Formatting elements modify the styling and presentation within semantic or other formatting elements.</w:t>
      </w:r>
    </w:p>
    <w:p>
      <w:pPr>
        <w:pStyle w:val="Heading4"/>
      </w:pPr>
      <w:r>
        <w:t>&lt;bold&gt;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&lt;italic&gt;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&lt;underline&gt;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&lt;strikethrough&gt;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&lt;superscript&gt;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&lt;subscript&gt;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&lt;handwriting&gt;</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&lt;rtl&gt;</w:t>
      </w:r>
    </w:p>
    <w:p>
      <w:r>
        <w:t>Indicates right-to-left direction.</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4"/>
      </w:pPr>
      <w:r>
        <w:t>&lt;hyperlink&gt;</w:t>
      </w:r>
    </w:p>
    <w:p>
      <w:r>
        <w:t xml:space="preserve">Contains a </w:t>
      </w:r>
      <w:r>
        <w:rPr>
          <w:rFonts w:ascii="Consolas" w:hAnsi="Consolas"/>
          <w:shd w:val="clear" w:color="auto" w:fill="F2F2F2"/>
        </w:rPr>
        <w:t>&lt;uri&gt;</w:t>
      </w:r>
      <w:r>
        <w:t xml:space="preserve"> and then optionally raw or formatted text data.</w:t>
      </w:r>
    </w:p>
    <w:p>
      <w:pPr>
        <w:pStyle w:val="Heading5"/>
      </w:pPr>
      <w:r>
        <w:t>Allowed Context</w:t>
      </w:r>
    </w:p>
    <w:p>
      <w:r>
        <w:t>Any context that allows raw text content.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Semantic elements</w:t>
            </w:r>
          </w:p>
        </w:tc>
        <w:tc>
          <w:tcPr>
            <w:tcW w:type="dxa" w:w="4320"/>
          </w:tcPr>
          <w:p>
            <w:r/>
            <w:r>
              <w:t>Not allowed</w:t>
            </w:r>
          </w:p>
        </w:tc>
      </w:tr>
    </w:tbl>
    <w:p>
      <w:pPr>
        <w:pStyle w:val="Heading3"/>
      </w:pPr>
      <w:r>
        <w:t>Structural Elements</w:t>
      </w:r>
    </w:p>
    <w:p>
      <w:r>
        <w:t>Structural elements define boundaries within explicitly structured components like tables and lists.</w:t>
      </w:r>
    </w:p>
    <w:p>
      <w:pPr>
        <w:pStyle w:val="Heading4"/>
      </w:pPr>
      <w:r>
        <w:t>&lt;fcel&gt;</w:t>
      </w:r>
    </w:p>
    <w:p>
      <w:r>
        <w:t>Indicates the beginning of a full / regular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&lt;ecel&gt;</w:t>
      </w:r>
    </w:p>
    <w:p>
      <w:r>
        <w:t>Indicates the beginning of an empty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&lt;ched&gt;</w:t>
      </w:r>
    </w:p>
    <w:p>
      <w:r>
        <w:t>Indicates the beginning of a column header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&lt;rhed&gt;</w:t>
      </w:r>
    </w:p>
    <w:p>
      <w:r>
        <w:t>Indicates the beginning of a row header cell.</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&lt;corn&gt;</w:t>
      </w:r>
    </w:p>
    <w:p>
      <w:r>
        <w:t>Indicates the beginning of a corner cell, typically the top-left header intersection.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&lt;srow&gt;</w:t>
      </w:r>
    </w:p>
    <w:p>
      <w:r>
        <w:t>Indicates the beginning of a section row header.</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&lt;lcel&gt;</w:t>
      </w:r>
    </w:p>
    <w:p>
      <w:r>
        <w:t>Left-merge extension token; extends the previous cell horizontally (colspan continuation).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&lt;ucel&gt;</w:t>
      </w:r>
    </w:p>
    <w:p>
      <w:r>
        <w:t>Upward-merge extension token; extends the cell above vertically (rowspan continuation)</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&lt;xcel&gt;</w:t>
      </w:r>
    </w:p>
    <w:p>
      <w:r>
        <w:t>Cross/combined span extension token; used where both horizontal and vertical spanning intersect.</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&lt;nl&gt;</w:t>
      </w:r>
    </w:p>
    <w:p>
      <w:r>
        <w:t>New line / new table row</w:t>
      </w:r>
    </w:p>
    <w:p>
      <w:pPr>
        <w:pStyle w:val="Heading5"/>
      </w:pPr>
      <w:r>
        <w:t>Allowed Context</w:t>
      </w:r>
    </w:p>
    <w:p>
      <w:r>
        <w:t xml:space="preserve">Can only be child of </w:t>
      </w:r>
      <w:r>
        <w:rPr>
          <w:rFonts w:ascii="Consolas" w:hAnsi="Consolas"/>
          <w:shd w:val="clear" w:color="auto" w:fill="F2F2F2"/>
        </w:rPr>
        <w:t>&lt;table&gt;</w:t>
      </w:r>
      <w:r>
        <w:t>.</w:t>
      </w:r>
    </w:p>
    <w:p>
      <w:pPr>
        <w:pStyle w:val="Heading5"/>
      </w:pPr>
      <w:r>
        <w:t>Attributes</w:t>
      </w:r>
    </w:p>
    <w:p>
      <w:r>
        <w:t>None</w:t>
      </w:r>
    </w:p>
    <w:p>
      <w:pPr>
        <w:pStyle w:val="Heading5"/>
      </w:pPr>
      <w:r>
        <w:t>Allowed Content Types</w:t>
      </w:r>
    </w:p>
    <w:p>
      <w:r>
        <w:t>None (empty element).</w:t>
      </w:r>
    </w:p>
    <w:p>
      <w:pPr>
        <w:pStyle w:val="Heading4"/>
      </w:pPr>
      <w:r>
        <w:t>&lt;ldiv&gt;</w:t>
      </w:r>
    </w:p>
    <w:p>
      <w:r>
        <w:t xml:space="preserve">Indicates the beginning of a list item. It can either be empty or contain a </w:t>
      </w:r>
      <w:r>
        <w:rPr>
          <w:rFonts w:ascii="Consolas" w:hAnsi="Consolas"/>
          <w:shd w:val="clear" w:color="auto" w:fill="F2F2F2"/>
        </w:rPr>
        <w:t>&lt;marker&gt;</w:t>
      </w:r>
      <w:r>
        <w:t>.</w:t>
      </w:r>
    </w:p>
    <w:p>
      <w:pPr>
        <w:pStyle w:val="Heading5"/>
      </w:pPr>
      <w:r>
        <w:t>Allowed Context</w:t>
      </w:r>
    </w:p>
    <w:p>
      <w:r>
        <w:t xml:space="preserve">Can only be child of </w:t>
      </w:r>
      <w:r>
        <w:rPr>
          <w:rFonts w:ascii="Consolas" w:hAnsi="Consolas"/>
          <w:shd w:val="clear" w:color="auto" w:fill="F2F2F2"/>
        </w:rPr>
        <w:t>&lt;list&gt;</w:t>
      </w:r>
      <w:r>
        <w:t>.</w:t>
      </w:r>
    </w:p>
    <w:p>
      <w:pPr>
        <w:pStyle w:val="Heading5"/>
      </w:pPr>
      <w:r>
        <w:t>Attributes</w:t>
      </w:r>
    </w:p>
    <w:p>
      <w:r>
        <w:t>None</w:t>
      </w:r>
    </w:p>
    <w:p>
      <w:pPr>
        <w:pStyle w:val="Heading5"/>
      </w:pPr>
      <w:r>
        <w:t>Allowed Content Types</w:t>
      </w:r>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Component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Semantic elements</w:t>
            </w:r>
          </w:p>
        </w:tc>
        <w:tc>
          <w:tcPr>
            <w:tcW w:type="dxa" w:w="4320"/>
          </w:tcPr>
          <w:p>
            <w:r/>
            <w:r>
              <w:t xml:space="preserve">Only </w:t>
            </w:r>
            <w:r>
              <w:rPr>
                <w:rFonts w:ascii="Consolas" w:hAnsi="Consolas"/>
                <w:shd w:val="clear" w:color="auto" w:fill="F2F2F2"/>
              </w:rPr>
              <w:t>&lt;marker&gt;</w:t>
            </w:r>
          </w:p>
        </w:tc>
      </w:tr>
    </w:tbl>
    <w:p>
      <w:pPr>
        <w:pStyle w:val="Heading3"/>
      </w:pPr>
      <w:r>
        <w:t>Document Head Elements</w:t>
      </w:r>
    </w:p>
    <w:p>
      <w:r>
        <w:t xml:space="preserve">This category comprises the document-level metadata elements that are the building blocks of </w:t>
      </w:r>
      <w:r>
        <w:rPr>
          <w:rFonts w:ascii="Consolas" w:hAnsi="Consolas"/>
          <w:shd w:val="clear" w:color="auto" w:fill="F2F2F2"/>
        </w:rPr>
        <w:t>&lt;head&gt;</w:t>
      </w:r>
      <w:r>
        <w:t>.</w:t>
      </w:r>
    </w:p>
    <w:p>
      <w:pPr>
        <w:pStyle w:val="Heading4"/>
      </w:pPr>
      <w:r>
        <w:t>&lt;title&gt;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&lt;author&gt;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&lt;default_resolution&gt;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&lt;page_size&gt;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&lt;language&gt;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&lt;generated_by&gt;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&lt;topic&gt;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&lt;summary&gt;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&lt;document_hash&gt;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&lt;licenses&gt;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&lt;data_classification&gt;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&lt;acceptable_use&gt;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&lt;stewardship&gt;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&lt;access_policy&gt;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&lt;retention_policy&gt;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4"/>
      </w:pPr>
      <w:r>
        <w:t>&lt;compliance_requirements&gt;</w:t>
      </w:r>
    </w:p>
    <w:p>
      <w:r>
        <w:t>TBD</w:t>
      </w:r>
    </w:p>
    <w:p>
      <w:pPr>
        <w:pStyle w:val="Heading5"/>
      </w:pPr>
      <w:r>
        <w:t>Allowed Context</w:t>
      </w:r>
    </w:p>
    <w:p>
      <w:r>
        <w:t>TBD</w:t>
      </w:r>
    </w:p>
    <w:p>
      <w:pPr>
        <w:pStyle w:val="Heading5"/>
      </w:pPr>
      <w:r>
        <w:t>Attributes</w:t>
      </w:r>
    </w:p>
    <w:p>
      <w:r>
        <w:t>None</w:t>
      </w:r>
    </w:p>
    <w:p>
      <w:pPr>
        <w:pStyle w:val="Heading5"/>
      </w:pPr>
      <w:r>
        <w:t>Allowed Content Types</w:t>
      </w:r>
    </w:p>
    <w:p>
      <w:r>
        <w:t>None (empty element).</w:t>
      </w:r>
    </w:p>
    <w:p>
      <w:pPr>
        <w:pStyle w:val="Heading2"/>
      </w:pPr>
      <w:r>
        <w:t>Appendix B: Metadata</w:t>
      </w:r>
    </w:p>
    <w:p>
      <w:r>
        <w:t>Metadata elements are meant to capture information that is not directly part of the document *content*, but rather:</w:t>
      </w:r>
    </w:p>
    <w:p>
      <w:pPr>
        <w:pStyle w:val="ListBullet"/>
        <w:ind w:left="360" w:hanging="360"/>
      </w:pPr>
      <w:r>
        <w:t>deriveable from the document</w:t>
      </w:r>
    </w:p>
    <w:p>
      <w:pPr>
        <w:pStyle w:val="ListBullet"/>
        <w:ind w:left="720" w:hanging="360"/>
      </w:pPr>
      <w:r>
        <w:t>either directly, e.g. a summary of a certain component</w:t>
      </w:r>
    </w:p>
    <w:p>
      <w:pPr>
        <w:pStyle w:val="ListBullet"/>
        <w:ind w:left="720" w:hanging="360"/>
      </w:pPr>
      <w:r>
        <w:t>or in combination with other context, e.g. from external knowledge sources</w:t>
      </w:r>
    </w:p>
    <w:p>
      <w:pPr>
        <w:pStyle w:val="ListBullet"/>
        <w:ind w:left="360" w:hanging="360"/>
      </w:pPr>
      <w:r>
        <w:t>or reflects properties of the upstream pipeline, e.g. the VLM that generated the document.</w:t>
      </w:r>
    </w:p>
    <w:p>
      <w:r>
        <w:t>As applications can have varying requirements, this standard defines a set of reserved metadata elements for common use cases, but also allows for custom metadata elements to be added. To avoid collisions, custom metadata SHOULD always be properly namespaced, as illustrated in the examples further below.</w:t>
      </w:r>
    </w:p>
    <w:p>
      <w:r>
        <w:t xml:space="preserve">Document-level metadata is contained in the </w:t>
      </w:r>
      <w:r>
        <w:rPr>
          <w:rFonts w:ascii="Consolas" w:hAnsi="Consolas"/>
          <w:shd w:val="clear" w:color="auto" w:fill="F2F2F2"/>
        </w:rPr>
        <w:t>&lt;head&gt;</w:t>
      </w:r>
      <w:r>
        <w:t xml:space="preserve"> element, while component-level metadata is contained in an </w:t>
      </w:r>
      <w:r>
        <w:rPr>
          <w:rFonts w:ascii="Consolas" w:hAnsi="Consolas"/>
          <w:shd w:val="clear" w:color="auto" w:fill="F2F2F2"/>
        </w:rPr>
        <w:t>&lt;meta&gt;</w:t>
      </w:r>
      <w:r>
        <w:t xml:space="preserve"> element within the respective component element. We discuss the details in the subsections below.</w:t>
      </w:r>
    </w:p>
    <w:p>
      <w:pPr>
        <w:pStyle w:val="Heading3"/>
      </w:pPr>
      <w:r>
        <w:t>The head Element</w:t>
      </w:r>
    </w:p>
    <w:p>
      <w:r>
        <w:t xml:space="preserve">After the optional </w:t>
      </w:r>
      <w:r>
        <w:rPr>
          <w:rFonts w:ascii="Consolas" w:hAnsi="Consolas"/>
          <w:shd w:val="clear" w:color="auto" w:fill="F2F2F2"/>
        </w:rPr>
        <w:t>version</w:t>
      </w:r>
      <w:r>
        <w:t xml:space="preserve"> element, the </w:t>
      </w:r>
      <w:r>
        <w:rPr>
          <w:rFonts w:ascii="Consolas" w:hAnsi="Consolas"/>
          <w:shd w:val="clear" w:color="auto" w:fill="F2F2F2"/>
        </w:rPr>
        <w:t>doclang</w:t>
      </w:r>
      <w:r>
        <w:t xml:space="preserve"> element can continue with an optional </w:t>
      </w:r>
      <w:r>
        <w:rPr>
          <w:rFonts w:ascii="Consolas" w:hAnsi="Consolas"/>
          <w:shd w:val="clear" w:color="auto" w:fill="F2F2F2"/>
        </w:rPr>
        <w:t>&lt;head&gt;</w:t>
      </w:r>
      <w:r>
        <w:t xml:space="preserve"> element. 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default_resolution</w:t>
      </w:r>
      <w:r>
        <w:t xml:space="preserve">, containing attributes for the document-level default </w:t>
      </w:r>
      <w:r>
        <w:rPr>
          <w:rFonts w:ascii="Consolas" w:hAnsi="Consolas"/>
          <w:shd w:val="clear" w:color="auto" w:fill="F2F2F2"/>
        </w:rPr>
        <w:t>width</w:t>
      </w:r>
      <w:r>
        <w:t xml:space="preserve"> and </w:t>
      </w:r>
      <w:r>
        <w:rPr>
          <w:rFonts w:ascii="Consolas" w:hAnsi="Consolas"/>
          <w:shd w:val="clear" w:color="auto" w:fill="F2F2F2"/>
        </w:rPr>
        <w:t>heigth</w:t>
      </w:r>
      <w:r>
        <w:t xml:space="preserve"> resolution in pixels; if element is missing, 512x512 is considered the default resolution.</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pPr>
        <w:pStyle w:val="Heading4"/>
      </w:pPr>
      <w:r>
        <w:t>Governance and compliance metadata</w:t>
      </w:r>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Component-level governance (e.g., component-specific redaction or extraction restrictions) MAY be expressed inside a component’s </w:t>
      </w:r>
      <w:r>
        <w:rPr>
          <w:rFonts w:ascii="Consolas" w:hAnsi="Consolas"/>
          <w:shd w:val="clear" w:color="auto" w:fill="F2F2F2"/>
        </w:rPr>
        <w:t>&lt;meta&gt;</w:t>
      </w:r>
      <w:r>
        <w:t xml:space="preserve"> when appropriate.</w:t>
      </w:r>
    </w:p>
    <w:p>
      <w:pPr>
        <w:pStyle w:val="Heading5"/>
      </w:pPr>
      <w:r>
        <w:t>Standards reference and interpretation</w:t>
      </w:r>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pPr>
        <w:pStyle w:val="Heading5"/>
      </w:pPr>
      <w:r>
        <w:t>Governance narrative and flow</w:t>
      </w:r>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pPr>
        <w:pStyle w:val="Heading5"/>
      </w:pPr>
      <w:r>
        <w:t>Naming and terminology conventions</w:t>
      </w:r>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pPr>
        <w:pStyle w:val="Heading5"/>
      </w:pPr>
      <w:r>
        <w:t>Governance overview</w:t>
      </w:r>
    </w:p>
    <w:p>
      <w:r>
        <w:t>Governance metadata is intended to be machine-actionable: it should enable downstream systems (including AI systems) to determine what is permitted, under what constraints, and with what obligations.</w:t>
      </w:r>
    </w:p>
    <w:p>
      <w:pPr>
        <w:pStyle w:val="Heading5"/>
      </w:pPr>
      <w:r>
        <w:t>Licensing and rights</w:t>
      </w:r>
    </w:p>
    <w:p>
      <w:pPr>
        <w:pStyle w:val="ListBullet"/>
        <w:ind w:left="360" w:hanging="360"/>
      </w:pPr>
      <w:r>
        <w:rPr>
          <w:rFonts w:ascii="Consolas" w:hAnsi="Consolas"/>
          <w:shd w:val="clear" w:color="auto" w:fill="F2F2F2"/>
        </w:rPr>
        <w:t>licenses</w:t>
      </w:r>
      <w:r>
        <w:t xml:space="preserve"> Indicate one or more licenses covering use of the document.</w:t>
      </w:r>
    </w:p>
    <w:p>
      <w:pPr>
        <w:pStyle w:val="Heading5"/>
      </w:pPr>
      <w:r>
        <w:t>Data classification and privacy posture</w:t>
      </w:r>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pPr>
        <w:pStyle w:val="Heading5"/>
      </w:pPr>
      <w:r>
        <w:t>Acceptable use and purpose limitation</w:t>
      </w:r>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pPr>
        <w:pStyle w:val="Heading5"/>
      </w:pPr>
      <w:r>
        <w:t>Stewardship and contact</w:t>
      </w:r>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pPr>
        <w:pStyle w:val="Heading5"/>
      </w:pPr>
      <w:r>
        <w:t>Access control policy</w:t>
      </w:r>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pPr>
        <w:pStyle w:val="Heading5"/>
      </w:pPr>
      <w:r>
        <w:t>Retention and deletion</w:t>
      </w:r>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pPr>
        <w:pStyle w:val="Heading5"/>
      </w:pPr>
      <w:r>
        <w:t>Compliance frameworks</w:t>
      </w:r>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pPr>
        <w:pStyle w:val="Heading5"/>
      </w:pPr>
      <w:r>
        <w:t>Privacy and PII controls</w:t>
      </w:r>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pPr>
        <w:pStyle w:val="Heading5"/>
      </w:pPr>
      <w:r>
        <w:t>Data extraction controls</w:t>
      </w:r>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pPr>
        <w:pStyle w:val="Heading5"/>
      </w:pPr>
      <w:r>
        <w:t>RAG and retrieval controls</w:t>
      </w:r>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pPr>
        <w:pStyle w:val="Heading5"/>
      </w:pPr>
      <w:r>
        <w:t>Document training controls</w:t>
      </w:r>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xml:space="preserve">, and MAY be overridden at component level using </w:t>
      </w:r>
      <w:r>
        <w:rPr>
          <w:rFonts w:ascii="Consolas" w:hAnsi="Consolas"/>
          <w:shd w:val="clear" w:color="auto" w:fill="F2F2F2"/>
        </w:rPr>
        <w:t>&lt;meta&gt;</w:t>
      </w:r>
      <w:r>
        <w:t xml:space="preserve"> where finer-grained control is required.</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pPr>
        <w:pStyle w:val="Heading5"/>
      </w:pPr>
      <w:r>
        <w:t>Minimal and full governance profiles</w:t>
      </w:r>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pPr>
        <w:pStyle w:val="Heading5"/>
      </w:pPr>
      <w:r>
        <w:t>Example</w:t>
      </w:r>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pPr>
        <w:pStyle w:val="Heading5"/>
      </w:pPr>
      <w:r>
        <w:t>Consolidated example (PII + extraction + RAG + training)</w:t>
      </w:r>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using </w:t>
      </w:r>
      <w:r>
        <w:rPr>
          <w:rFonts w:ascii="Consolas" w:hAnsi="Consolas"/>
          <w:shd w:val="clear" w:color="auto" w:fill="F2F2F2"/>
        </w:rPr>
        <w:t>&lt;meta&gt;</w:t>
      </w:r>
      <w:r>
        <w:t xml:space="preserve">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pPr>
        <w:pStyle w:val="Heading2"/>
      </w:pPr>
      <w:r>
        <w:t>Appendix C: Validation Rules</w:t>
      </w:r>
    </w:p>
    <w:p>
      <w:pPr>
        <w:pStyle w:val="Heading3"/>
      </w:pPr>
      <w:r>
        <w:t>Required Structure Validation</w:t>
      </w:r>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Continuation tokens must be properly paired</w:t>
      </w:r>
    </w:p>
    <w:p>
      <w:pPr>
        <w:pStyle w:val="Heading3"/>
      </w:pPr>
      <w:r>
        <w:t>Geometric Validation</w:t>
      </w:r>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per-token </w:t>
      </w:r>
      <w:r>
        <w:rPr>
          <w:rFonts w:ascii="Consolas" w:hAnsi="Consolas"/>
          <w:shd w:val="clear" w:color="auto" w:fill="F2F2F2"/>
        </w:rPr>
        <w:t>resolution</w:t>
      </w:r>
      <w:r>
        <w:t xml:space="preserve"> overrides </w:t>
      </w:r>
      <w:r>
        <w:rPr>
          <w:rFonts w:ascii="Consolas" w:hAnsi="Consolas"/>
          <w:shd w:val="clear" w:color="auto" w:fill="F2F2F2"/>
        </w:rPr>
        <w:t>metadata.default_resolution</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pPr>
        <w:pStyle w:val="Heading3"/>
      </w:pPr>
      <w:r>
        <w:t>Temporal Validation</w:t>
      </w:r>
    </w:p>
    <w:p>
      <w:pPr>
        <w:pStyle w:val="ListBullet"/>
        <w:ind w:left="360" w:hanging="360"/>
      </w:pPr>
      <w:r>
        <w:t xml:space="preserve">Components: Timestamps with second-level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and </w:t>
      </w:r>
      <w:r>
        <w:rPr>
          <w:rFonts w:ascii="Consolas" w:hAnsi="Consolas"/>
          <w:shd w:val="clear" w:color="auto" w:fill="F2F2F2"/>
        </w:rPr>
        <w:t>second</w:t>
      </w:r>
      <w:r>
        <w:t xml:space="preserve"> tokens in strict order. Timestamps with sub-second precision are encoded with </w:t>
      </w:r>
      <w:r>
        <w:rPr>
          <w:rFonts w:ascii="Consolas" w:hAnsi="Consolas"/>
          <w:shd w:val="clear" w:color="auto" w:fill="F2F2F2"/>
        </w:rPr>
        <w:t>hour</w:t>
      </w:r>
      <w:r>
        <w:t xml:space="preserve">, </w:t>
      </w:r>
      <w:r>
        <w:rPr>
          <w:rFonts w:ascii="Consolas" w:hAnsi="Consolas"/>
          <w:shd w:val="clear" w:color="auto" w:fill="F2F2F2"/>
        </w:rPr>
        <w:t>minute</w:t>
      </w:r>
      <w:r>
        <w:t xml:space="preserve">, </w:t>
      </w:r>
      <w:r>
        <w:rPr>
          <w:rFonts w:ascii="Consolas" w:hAnsi="Consolas"/>
          <w:shd w:val="clear" w:color="auto" w:fill="F2F2F2"/>
        </w:rPr>
        <w:t>second</w:t>
      </w:r>
      <w:r>
        <w:t xml:space="preserve"> and </w:t>
      </w:r>
      <w:r>
        <w:rPr>
          <w:rFonts w:ascii="Consolas" w:hAnsi="Consolas"/>
          <w:shd w:val="clear" w:color="auto" w:fill="F2F2F2"/>
        </w:rPr>
        <w:t>centisecond</w:t>
      </w:r>
      <w:r>
        <w:t xml:space="preserve"> tokens in strict order.</w:t>
      </w:r>
    </w:p>
    <w:p>
      <w:pPr>
        <w:pStyle w:val="ListBullet"/>
        <w:ind w:left="360" w:hanging="360"/>
      </w:pPr>
      <w:r>
        <w:t xml:space="preserve">Ranges: </w:t>
      </w:r>
      <w:r>
        <w:rPr>
          <w:rFonts w:ascii="Consolas" w:hAnsi="Consolas"/>
          <w:shd w:val="clear" w:color="auto" w:fill="F2F2F2"/>
        </w:rPr>
        <w:t>hour.value</w:t>
      </w:r>
      <w:r>
        <w:t xml:space="preserve"> is an integer in </w:t>
      </w:r>
      <w:r>
        <w:rPr>
          <w:rFonts w:ascii="Consolas" w:hAnsi="Consolas"/>
          <w:shd w:val="clear" w:color="auto" w:fill="F2F2F2"/>
        </w:rPr>
        <w:t>[0, 99]</w:t>
      </w:r>
      <w:r>
        <w:t xml:space="preserve">; </w:t>
      </w:r>
      <w:r>
        <w:rPr>
          <w:rFonts w:ascii="Consolas" w:hAnsi="Consolas"/>
          <w:shd w:val="clear" w:color="auto" w:fill="F2F2F2"/>
        </w:rPr>
        <w:t>minute.value</w:t>
      </w:r>
      <w:r>
        <w:t xml:space="preserve"> is an integer in </w:t>
      </w:r>
      <w:r>
        <w:rPr>
          <w:rFonts w:ascii="Consolas" w:hAnsi="Consolas"/>
          <w:shd w:val="clear" w:color="auto" w:fill="F2F2F2"/>
        </w:rPr>
        <w:t>[0, 59]</w:t>
      </w:r>
      <w:r>
        <w:t xml:space="preserve">; </w:t>
      </w:r>
      <w:r>
        <w:rPr>
          <w:rFonts w:ascii="Consolas" w:hAnsi="Consolas"/>
          <w:shd w:val="clear" w:color="auto" w:fill="F2F2F2"/>
        </w:rPr>
        <w:t>second.value</w:t>
      </w:r>
      <w:r>
        <w:t xml:space="preserve"> is an integer in </w:t>
      </w:r>
      <w:r>
        <w:rPr>
          <w:rFonts w:ascii="Consolas" w:hAnsi="Consolas"/>
          <w:shd w:val="clear" w:color="auto" w:fill="F2F2F2"/>
        </w:rPr>
        <w:t>[0, 59]</w:t>
      </w:r>
      <w:r>
        <w:t xml:space="preserve">; </w:t>
      </w:r>
      <w:r>
        <w:rPr>
          <w:rFonts w:ascii="Consolas" w:hAnsi="Consolas"/>
          <w:shd w:val="clear" w:color="auto" w:fill="F2F2F2"/>
        </w:rPr>
        <w:t>centisecond.value</w:t>
      </w:r>
      <w:r>
        <w:t xml:space="preserve"> is an integer in </w:t>
      </w:r>
      <w:r>
        <w:rPr>
          <w:rFonts w:ascii="Consolas" w:hAnsi="Consolas"/>
          <w:shd w:val="clear" w:color="auto" w:fill="F2F2F2"/>
        </w:rPr>
        <w:t>[0, 99]</w:t>
      </w:r>
      <w:r>
        <w:t>.</w:t>
      </w:r>
    </w:p>
    <w:p>
      <w:pPr>
        <w:pStyle w:val="ListBullet"/>
        <w:ind w:left="360" w:hanging="360"/>
      </w:pPr>
      <w:r>
        <w:t>Point with second-level precision: Exactly 3 consecutive tokens are required (hour, then minute, then second).</w:t>
      </w:r>
    </w:p>
    <w:p>
      <w:pPr>
        <w:pStyle w:val="ListBullet"/>
        <w:ind w:left="360" w:hanging="360"/>
      </w:pPr>
      <w:r>
        <w:t>Point with sub-second precision: Exactly 4 consecutive tokens are required (hour, then minute, then second, then centisecond).</w:t>
      </w:r>
    </w:p>
    <w:p>
      <w:pPr>
        <w:pStyle w:val="ListBullet"/>
        <w:ind w:left="360" w:hanging="360"/>
      </w:pPr>
      <w:r>
        <w:t>Interval with second-level precision: Exactly 6 consecutive tokens are required: start triplet followed by end triplet.</w:t>
      </w:r>
    </w:p>
    <w:p>
      <w:pPr>
        <w:pStyle w:val="ListBullet"/>
        <w:ind w:left="360" w:hanging="360"/>
      </w:pPr>
      <w:r>
        <w:t>Interval with sub-second precision: Exactly 8 consecutive tokens are required: start quadruplet followed by end quadruplet.</w:t>
      </w:r>
    </w:p>
    <w:p>
      <w:pPr>
        <w:pStyle w:val="ListBullet"/>
        <w:ind w:left="360" w:hanging="360"/>
      </w:pPr>
      <w:r>
        <w:t>Normalization: Out-of-range carry is not allowed; producers MUST pre-normalize values (e.g., 61 minutes becomes 1 hour and 1 minute).</w:t>
      </w:r>
    </w:p>
    <w:p>
      <w:pPr>
        <w:pStyle w:val="ListBullet"/>
        <w:ind w:left="360" w:hanging="360"/>
      </w:pPr>
      <w:r>
        <w:t>Monotonicity (intervals): End time MUST be greater than or equal to start time when converted to total seconds.</w:t>
      </w:r>
    </w:p>
    <w:p>
      <w:pPr>
        <w:pStyle w:val="ListBullet"/>
        <w:ind w:left="360" w:hanging="360"/>
      </w:pPr>
      <w:r>
        <w:t>Placement: Timestamp tokens MAY only appear on block-level elements and MUST precede textual content and inline formatting when present.</w:t>
      </w:r>
    </w:p>
    <w:p>
      <w:pPr>
        <w:pStyle w:val="ListBullet"/>
        <w:ind w:left="360" w:hanging="360"/>
      </w:pPr>
      <w:r>
        <w:t>Coexistence: When both geometric and temporal tokens are present, both appear before content; relative order has no semantic effect.</w:t>
      </w:r>
    </w:p>
    <w:p>
      <w:pPr>
        <w:pStyle w:val="ListBullet"/>
        <w:ind w:left="360" w:hanging="360"/>
      </w:pPr>
      <w:r>
        <w:t>Interpretation: Values are relative to a media timeline (not wall-clock), so dates/time zones do not apply.</w:t>
      </w:r>
    </w:p>
    <w:p>
      <w:pPr>
        <w:pStyle w:val="Heading3"/>
      </w:pPr>
      <w:r>
        <w:t>Content Validation</w:t>
      </w:r>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