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DocLang: Universal AI Document Format</w:t>
      </w:r>
    </w:p>
    <w:p>
      <w:pPr>
        <w:pStyle w:val="Heading2"/>
      </w:pPr>
      <w:r>
        <w:t>Introduction and Overview</w:t>
      </w:r>
    </w:p>
    <w:p>
      <w:pPr>
        <w:pStyle w:val="Heading3"/>
      </w:pPr>
      <w:r>
        <w:t>Foreword</w:t>
      </w:r>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w:t>
            </w:r>
          </w:p>
        </w:tc>
        <w:tc>
          <w:tcPr>
            <w:tcW w:type="dxa" w:w="2880"/>
          </w:tcPr>
          <w:p>
            <w:r/>
            <w:r>
              <w:t>marlene.wolfgruber@abbyy.com</w:t>
            </w:r>
          </w:p>
        </w:tc>
      </w:tr>
      <w:tr>
        <w:tc>
          <w:tcPr>
            <w:tcW w:type="dxa" w:w="2880"/>
          </w:tcPr>
          <w:p>
            <w:r/>
            <w:r>
              <w:t>Maxime Vermeir</w:t>
            </w:r>
          </w:p>
        </w:tc>
        <w:tc>
          <w:tcPr>
            <w:tcW w:type="dxa" w:w="2880"/>
          </w:tcPr>
          <w:p>
            <w:r/>
            <w:r>
              <w:t>ABBY</w:t>
            </w:r>
          </w:p>
        </w:tc>
        <w:tc>
          <w:tcPr>
            <w:tcW w:type="dxa" w:w="2880"/>
          </w:tcPr>
          <w:p>
            <w:r/>
            <w:r>
              <w:t>maxime.vermeir@abbyy.com</w:t>
            </w:r>
          </w:p>
        </w:tc>
      </w:tr>
      <w:tr>
        <w:tc>
          <w:tcPr>
            <w:tcW w:type="dxa" w:w="2880"/>
          </w:tcPr>
          <w:p>
            <w:r/>
            <w:r>
              <w:t>Morgan Logue</w:t>
            </w:r>
          </w:p>
        </w:tc>
        <w:tc>
          <w:tcPr>
            <w:tcW w:type="dxa" w:w="2880"/>
          </w:tcPr>
          <w:p>
            <w:r/>
            <w:r>
              <w:t>ABBY</w:t>
            </w:r>
          </w:p>
        </w:tc>
        <w:tc>
          <w:tcPr>
            <w:tcW w:type="dxa" w:w="2880"/>
          </w:tcPr>
          <w:p>
            <w:r/>
            <w:r>
              <w:t>morgan.logue@abbyy.com</w:t>
            </w:r>
          </w:p>
        </w:tc>
      </w:tr>
      <w:tr>
        <w:tc>
          <w:tcPr>
            <w:tcW w:type="dxa" w:w="2880"/>
          </w:tcPr>
          <w:p>
            <w:r/>
            <w:r>
              <w:t>Andrew Pery</w:t>
            </w:r>
          </w:p>
        </w:tc>
        <w:tc>
          <w:tcPr>
            <w:tcW w:type="dxa" w:w="2880"/>
          </w:tcPr>
          <w:p>
            <w:r/>
            <w:r>
              <w:t>ABBY</w:t>
            </w:r>
          </w:p>
        </w:tc>
        <w:tc>
          <w:tcPr>
            <w:tcW w:type="dxa" w:w="2880"/>
          </w:tcPr>
          <w:p>
            <w:r/>
            <w:r>
              <w:t>???</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pPr>
        <w:pStyle w:val="Heading3"/>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3"/>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3"/>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 a 1-to-1 mapping between DocLang tokens and LLM tokens) and efficiently (== minimal token count).</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DocLang/OTSL</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Language Design Principles</w:t>
      </w:r>
    </w:p>
    <w:p>
      <w:pPr>
        <w:pStyle w:val="Heading3"/>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3"/>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3"/>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3"/>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*document head* and the remaining content is called the *document body*. Unlike the component head, the document head is encapsulated in a dedicated </w:t>
      </w:r>
      <w:r>
        <w:rPr>
          <w:rFonts w:ascii="Consolas" w:hAnsi="Consolas"/>
          <w:shd w:val="clear" w:color="auto" w:fill="F2F2F2"/>
        </w:rPr>
        <w:t>&lt;head&gt;</w:t>
      </w:r>
      <w:r>
        <w:t xml:space="preserve"> element — the body is unwrapped in both cases.</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3"/>
      </w:pPr>
      <w:r>
        <w:t>Version Management and Compatibility</w:t>
      </w:r>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0.2</w:t>
      </w:r>
      <w:r>
        <w:t>.</w:t>
      </w:r>
    </w:p>
    <w:p>
      <w:pPr>
        <w:pStyle w:val="Heading4"/>
      </w:pPr>
      <w:r>
        <w:t>Semantic Versioning Principles</w:t>
      </w:r>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pPr>
        <w:pStyle w:val="Heading4"/>
      </w:pPr>
      <w:r>
        <w:t>Version 0.x Behavior</w:t>
      </w:r>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pPr>
        <w:pStyle w:val="Heading4"/>
      </w:pPr>
      <w:r>
        <w:t>XSD Schema Versioning</w:t>
      </w:r>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pPr>
        <w:pStyle w:val="Heading2"/>
      </w:pPr>
      <w:r>
        <w:t>Language Specification</w:t>
      </w:r>
    </w:p>
    <w:p>
      <w:r>
        <w:t xml:space="preserve">The individual DocLang elements and attributes, as well as DocLang's contextual rules are specified in </w:t>
      </w:r>
      <w:r>
        <w:t>Appendix A: Reference</w:t>
      </w:r>
      <w:r>
        <w:t>.</w:t>
      </w:r>
    </w:p>
    <w:p>
      <w:r>
        <w:t xml:space="preserve">Metadata elements and attributes are further discussed in </w:t>
      </w:r>
      <w:r>
        <w:t>Appendix B: Metadata</w:t>
      </w:r>
      <w:r>
        <w:t>.</w:t>
      </w:r>
    </w:p>
    <w:p>
      <w:r>
        <w:t xml:space="preserve">Special validation rules are covered in </w:t>
      </w:r>
      <w:r>
        <w:t>Appendix C: Validation Rules</w:t>
      </w:r>
      <w:r>
        <w:t>.</w:t>
      </w:r>
    </w:p>
    <w:p>
      <w:pPr>
        <w:pStyle w:val="Heading2"/>
      </w:pPr>
      <w:r>
        <w:t>Usage Examples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tokens;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pPr>
        <w:pStyle w:val="Heading3"/>
      </w:pPr>
      <w:r>
        <w:t>Math and Equations</w:t>
      </w:r>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Heading3"/>
      </w:pPr>
      <w:r>
        <w:t>Tables</w:t>
      </w:r>
    </w:p>
    <w:p>
      <w:r>
        <w:t xml:space="preserve">A table is defined by a </w:t>
      </w:r>
      <w:r>
        <w:rPr>
          <w:rFonts w:ascii="Consolas" w:hAnsi="Consolas"/>
          <w:shd w:val="clear" w:color="auto" w:fill="F2F2F2"/>
        </w:rPr>
        <w:t>table</w:t>
      </w:r>
      <w:r>
        <w:t xml:space="preserve"> element, that contains cells, as delimited by the respective structural tokens (e.g., </w:t>
      </w:r>
      <w:r>
        <w:rPr>
          <w:rFonts w:ascii="Consolas" w:hAnsi="Consolas"/>
          <w:shd w:val="clear" w:color="auto" w:fill="F2F2F2"/>
        </w:rPr>
        <w:t>&lt;fcel/&gt;</w:t>
      </w:r>
      <w:r>
        <w:t xml:space="preserve">, </w:t>
      </w:r>
      <w:r>
        <w:rPr>
          <w:rFonts w:ascii="Consolas" w:hAnsi="Consolas"/>
          <w:shd w:val="clear" w:color="auto" w:fill="F2F2F2"/>
        </w:rPr>
        <w:t>&lt;ched/&gt;</w:t>
      </w:r>
      <w:r>
        <w:t>).</w:t>
      </w:r>
    </w:p>
    <w:p>
      <w:r>
        <w:t>Basic example:</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token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&lt;/picture&gt;</w:t>
        <w:br/>
        <w:t xml:space="preserve">    &lt;caption&gt;Example image inside a cell&lt;/caption&gt;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tokens up to </w:t>
      </w:r>
      <w:r>
        <w:rPr>
          <w:rFonts w:ascii="Consolas" w:hAnsi="Consolas"/>
          <w:shd w:val="clear" w:color="auto" w:fill="F2F2F2"/>
        </w:rPr>
        <w:t>&lt;nl/&gt;</w:t>
      </w:r>
      <w:r>
        <w:t>.</w:t>
      </w:r>
    </w:p>
    <w:p>
      <w:pPr>
        <w:pStyle w:val="ListBullet"/>
        <w:ind w:left="360" w:hanging="360"/>
      </w:pPr>
      <w:r>
        <w:t>A cell can include any valid DocLang semantic element sequence.</w:t>
      </w:r>
    </w:p>
    <w:p>
      <w:pPr>
        <w:pStyle w:val="Heading3"/>
      </w:pPr>
      <w:r>
        <w:t>Lists</w:t>
      </w:r>
    </w:p>
    <w:p>
      <w:r>
        <w:t xml:space="preserve">A list can in principle can contain as list items any semantic element sequence. Every list item is preceded by an </w:t>
      </w:r>
      <w:r>
        <w:rPr>
          <w:rFonts w:ascii="Consolas" w:hAnsi="Consolas"/>
          <w:shd w:val="clear" w:color="auto" w:fill="F2F2F2"/>
        </w:rPr>
        <w:t>&lt;ldiv&gt;</w:t>
      </w:r>
      <w:r>
        <w:t xml:space="preserve"> element which may optionally contain a marker.</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pPr>
        <w:pStyle w:val="Heading3"/>
      </w:pPr>
      <w:r>
        <w:t>Split structure</w:t>
      </w:r>
    </w:p>
    <w:p>
      <w:r>
        <w:t xml:space="preserve">We can capture content that is split (e.g. across columns or across pages) using the </w:t>
      </w:r>
      <w:r>
        <w:rPr>
          <w:rFonts w:ascii="Consolas" w:hAnsi="Consolas"/>
          <w:shd w:val="clear" w:color="auto" w:fill="F2F2F2"/>
        </w:rPr>
        <w:t>&lt;thread thread_id="N"/&gt;</w:t>
      </w:r>
      <w:r>
        <w:t xml:space="preserve"> token,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7"/>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Top-level tags which belong to the same item should have the same thread token.</w:t>
      </w:r>
    </w:p>
    <w:p>
      <w:pPr>
        <w:shd w:val="clear" w:color="auto" w:fill="F2F2F2"/>
      </w:pPr>
      <w:r>
        <w:rPr>
          <w:rFonts w:ascii="Consolas" w:hAnsi="Consolas"/>
          <w:sz w:val="18"/>
        </w:rPr>
        <w:t>&lt;text&gt;</w:t>
        <w:br/>
        <w:t xml:space="preserve">  &lt;location value="10"/&gt;&lt;location value="20"/&gt;</w:t>
        <w:br/>
        <w:t xml:space="preserve">  &lt;location value="30"/&gt;&lt;location value="40"/&gt;</w:t>
        <w:br/>
        <w:t xml:space="preserve">  &lt;thread thread_id="1"/&gt;</w:t>
        <w:br/>
        <w:t/>
        <w:br/>
        <w:t xml:space="preserve">  where τ&lt;subscript&gt;x,y,z&lt;/subscript&gt; are the Pauli matrices acting</w:t>
        <w:br/>
        <w:t xml:space="preserve">  on Nambu space. We consider a circular-shaped boundary, the nor-</w:t>
        <w:br/>
        <w:t>&lt;/text&gt;</w:t>
        <w:br/>
        <w:t/>
        <w:br/>
        <w:t>&lt;caption&gt;</w:t>
        <w:br/>
        <w:t xml:space="preserve">  &lt;location value="50"/&gt;&lt;location value="60"/&gt;</w:t>
        <w:br/>
        <w:t xml:space="preserve">  &lt;location value="70"/&gt;&lt;location value="80"/&gt;</w:t>
        <w:br/>
        <w:t/>
        <w:br/>
        <w:t xml:space="preserve">  FIG. 3. The modules of the inner product of two MES spinors</w:t>
        <w:br/>
        <w:t xml:space="preserve">  &lt;formula&gt;...&lt;formula/&gt;</w:t>
        <w:br/>
        <w:t xml:space="preserve">  ...</w:t>
        <w:br/>
        <w:t>&lt;/caption&gt;</w:t>
        <w:br/>
        <w:t/>
        <w:br/>
        <w:t>&lt;text&gt;</w:t>
        <w:br/>
        <w:t xml:space="preserve">  &lt;location value="90"/&gt;&lt;location value="100"/&gt;</w:t>
        <w:br/>
        <w:t xml:space="preserve">  &lt;location value="110"/&gt;&lt;location value="120"/&gt;</w:t>
        <w:br/>
        <w:t xml:space="preserve">  &lt;thread thread_id="1"/&gt;</w:t>
        <w:br/>
        <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token, </w:t>
      </w:r>
      <w:r>
        <w:rPr>
          <w:rFonts w:ascii="Consolas" w:hAnsi="Consolas"/>
          <w:shd w:val="clear" w:color="auto" w:fill="F2F2F2"/>
        </w:rPr>
        <w:t>h_thread</w:t>
      </w:r>
      <w:r>
        <w:t>, which is used to capture table content that spans pages sidewise,</w:t>
      </w:r>
    </w:p>
    <w:p>
      <w:r>
        <w:t xml:space="preserve">similarly to the usual thread tokens </w:t>
      </w:r>
      <w:r>
        <w:rPr>
          <w:rFonts w:ascii="Consolas" w:hAnsi="Consolas"/>
          <w:shd w:val="clear" w:color="auto" w:fill="F2F2F2"/>
        </w:rPr>
        <w:t>thread</w:t>
      </w:r>
      <w:r>
        <w:t>.</w:t>
      </w:r>
    </w:p>
    <w:p>
      <w:pPr>
        <w:pStyle w:val="ListBullet"/>
        <w:ind w:left="360" w:hanging="360"/>
      </w:pPr>
      <w:r>
        <w:t>Only the content that is visible within the page is included in the OTSL token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token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tokens before the </w:t>
      </w:r>
      <w:r>
        <w:rPr>
          <w:rFonts w:ascii="Consolas" w:hAnsi="Consolas"/>
          <w:shd w:val="clear" w:color="auto" w:fill="F2F2F2"/>
        </w:rPr>
        <w:t>&lt;page_break/&gt;</w:t>
      </w:r>
      <w:r>
        <w:t xml:space="preserve"> token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 xml:space="preserve">The document root element. Starts with an optional </w:t>
      </w:r>
      <w:r>
        <w:rPr>
          <w:rFonts w:ascii="Consolas" w:hAnsi="Consolas"/>
          <w:shd w:val="clear" w:color="auto" w:fill="F2F2F2"/>
        </w:rPr>
        <w:t>&lt;head&gt;</w:t>
      </w:r>
      <w:r>
        <w:t xml:space="preserve">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"0.2"</w:t>
            </w:r>
          </w:p>
        </w:tc>
        <w:tc>
          <w:tcPr>
            <w:tcW w:type="dxa" w:w="2160"/>
          </w:tcPr>
          <w:p>
            <w:r/>
            <w:r>
              <w:t>{"0.2"}</w:t>
            </w:r>
          </w:p>
        </w:tc>
        <w:tc>
          <w:tcPr>
            <w:tcW w:type="dxa" w:w="2160"/>
          </w:tcPr>
          <w:p>
            <w:r/>
            <w:r>
              <w:t>The DocLang specification version the document is supposed to validate against, in "MAJOR.MINOR" format, i.e. first two positions of Semantic Verisoning.</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5"/>
      </w:pPr>
      <w:r>
        <w:t>Example</w:t>
      </w:r>
    </w:p>
    <w:p>
      <w:pPr>
        <w:shd w:val="clear" w:color="auto" w:fill="F2F2F2"/>
      </w:pPr>
      <w:r>
        <w:rPr>
          <w:rFonts w:ascii="Consolas" w:hAnsi="Consolas"/>
          <w:sz w:val="18"/>
        </w:rPr>
        <w:t>&lt;doclang&gt;</w:t>
        <w:br/>
        <w:t xml:space="preserve">  &lt;!-- content --&gt;</w:t>
        <w:br/>
        <w:t>&lt;/doclang&gt;</w:t>
      </w:r>
    </w:p>
    <w:p>
      <w:pPr>
        <w:pStyle w:val="Heading4"/>
      </w:pPr>
      <w:r>
        <w:t>&lt;head&gt;</w:t>
      </w:r>
    </w:p>
    <w:p>
      <w:r>
        <w:t>Includes doc-level metadata. Also discussed in Appendix B.</w:t>
      </w:r>
    </w:p>
    <w:p>
      <w:pPr>
        <w:pStyle w:val="Heading5"/>
      </w:pPr>
      <w:r>
        <w:t>Allowed Context</w:t>
      </w:r>
    </w:p>
    <w:p>
      <w:r>
        <w:t xml:space="preserve">Can only be first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r>
        <w:t>document body</w:t>
      </w:r>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 xml:space="preserve">Can only be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p>
      <w:r>
        <w:t>None (empty element).</w:t>
      </w:r>
    </w:p>
    <w:p>
      <w:pPr>
        <w:pStyle w:val="Heading5"/>
      </w:pPr>
      <w:r>
        <w:t>Example</w:t>
      </w:r>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r>
        <w:t>component head</w:t>
      </w:r>
      <w:r>
        <w:t>. Semantic elements are generally meant to be interpreted as block-level elements (although they can also be inlined via nesting).</w:t>
      </w:r>
    </w:p>
    <w:p>
      <w:pPr>
        <w:pStyle w:val="Heading4"/>
      </w:pPr>
      <w:r>
        <w:t>&lt;text&gt;</w:t>
      </w:r>
    </w:p>
    <w:p>
      <w:r>
        <w:t xml:space="preserve">Represents a piece of cohesive text as that would appear in a paragraph. Note: a special construct related to this element is the so-called "virtual </w:t>
      </w:r>
      <w:r>
        <w:rPr>
          <w:rFonts w:ascii="Consolas" w:hAnsi="Consolas"/>
          <w:shd w:val="clear" w:color="auto" w:fill="F2F2F2"/>
        </w:rPr>
        <w:t>&lt;text&gt;</w:t>
      </w:r>
      <w:r>
        <w:t xml:space="preserve">", which can occur only as a list item or a table cell — see </w:t>
      </w:r>
      <w:r>
        <w:rPr>
          <w:rFonts w:ascii="Consolas" w:hAnsi="Consolas"/>
          <w:shd w:val="clear" w:color="auto" w:fill="F2F2F2"/>
        </w:rPr>
        <w:t>&lt;list&gt;</w:t>
      </w:r>
      <w:r>
        <w:t xml:space="preserve"> and </w:t>
      </w:r>
      <w:r>
        <w:rPr>
          <w:rFonts w:ascii="Consolas" w:hAnsi="Consolas"/>
          <w:shd w:val="clear" w:color="auto" w:fill="F2F2F2"/>
        </w:rPr>
        <w:t>&lt;table&gt;</w:t>
      </w:r>
      <w:r>
        <w:t xml:space="preserve"> below for details.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&lt;heading&gt;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&lt;list&gt;</w:t>
      </w:r>
    </w:p>
    <w:p>
      <w:r>
        <w:t xml:space="preserve">Captures a list. List items are delimited by the respective structural elements. A list item can be defined without a wrapping tag, i.e. as pure (optional) component head followed by raw text; this is called an "virtual </w:t>
      </w:r>
      <w:r>
        <w:rPr>
          <w:rFonts w:ascii="Consolas" w:hAnsi="Consolas"/>
          <w:shd w:val="clear" w:color="auto" w:fill="F2F2F2"/>
        </w:rPr>
        <w:t>&lt;text&gt;</w:t>
      </w:r>
      <w:r>
        <w:t xml:space="preserve">" and is handled exactly like a regular </w:t>
      </w:r>
      <w:r>
        <w:rPr>
          <w:rFonts w:ascii="Consolas" w:hAnsi="Consolas"/>
          <w:shd w:val="clear" w:color="auto" w:fill="F2F2F2"/>
        </w:rPr>
        <w:t>&lt;text&gt;</w:t>
      </w:r>
      <w:r>
        <w:t xml:space="preserve"> element.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 xml:space="preserve">TRUE, also on cell level in case of virtual </w:t>
            </w:r>
            <w:r>
              <w:rPr>
                <w:rFonts w:ascii="Consolas" w:hAnsi="Consolas"/>
                <w:shd w:val="clear" w:color="auto" w:fill="F2F2F2"/>
              </w:rPr>
              <w:t>&lt;text&gt;</w:t>
            </w:r>
          </w:p>
        </w:tc>
      </w:tr>
      <w:tr>
        <w:tc>
          <w:tcPr>
            <w:tcW w:type="dxa" w:w="4320"/>
          </w:tcPr>
          <w:p>
            <w:r/>
            <w:r>
              <w:t>Raw text</w:t>
            </w:r>
          </w:p>
        </w:tc>
        <w:tc>
          <w:tcPr>
            <w:tcW w:type="dxa" w:w="4320"/>
          </w:tcPr>
          <w:p>
            <w:r/>
            <w:r>
              <w:t xml:space="preserve">Only on cell level, in case of virtual </w:t>
            </w:r>
            <w:r>
              <w:rPr>
                <w:rFonts w:ascii="Consolas" w:hAnsi="Consolas"/>
                <w:shd w:val="clear" w:color="auto" w:fill="F2F2F2"/>
              </w:rPr>
              <w:t>&lt;text&gt;</w:t>
            </w:r>
          </w:p>
        </w:tc>
      </w:tr>
      <w:tr>
        <w:tc>
          <w:tcPr>
            <w:tcW w:type="dxa" w:w="4320"/>
          </w:tcPr>
          <w:p>
            <w:r/>
            <w:r>
              <w:t>Semantic elements</w:t>
            </w:r>
          </w:p>
        </w:tc>
        <w:tc>
          <w:tcPr>
            <w:tcW w:type="dxa" w:w="4320"/>
          </w:tcPr>
          <w:p>
            <w:r/>
            <w:r>
              <w:t>Allowed</w:t>
            </w:r>
          </w:p>
        </w:tc>
      </w:tr>
    </w:tbl>
    <w:p>
      <w:pPr>
        <w:pStyle w:val="Heading4"/>
      </w:pPr>
      <w:r>
        <w:t>&lt;table&gt;</w:t>
      </w:r>
    </w:p>
    <w:p>
      <w:r>
        <w:t xml:space="preserve">Captures a table, in a format inspired by OTSL. Table cells are delimited by the respective structural elements. A table cell can be defined without a wrapping tag, i.e. as pure (optional) component head followed by raw text; this is called an "virtual </w:t>
      </w:r>
      <w:r>
        <w:rPr>
          <w:rFonts w:ascii="Consolas" w:hAnsi="Consolas"/>
          <w:shd w:val="clear" w:color="auto" w:fill="F2F2F2"/>
        </w:rPr>
        <w:t>&lt;text&gt;</w:t>
      </w:r>
      <w:r>
        <w:t xml:space="preserve">" and is handled exactly like a regular </w:t>
      </w:r>
      <w:r>
        <w:rPr>
          <w:rFonts w:ascii="Consolas" w:hAnsi="Consolas"/>
          <w:shd w:val="clear" w:color="auto" w:fill="F2F2F2"/>
        </w:rPr>
        <w:t>&lt;text&gt;</w:t>
      </w:r>
      <w:r>
        <w:t xml:space="preserve"> element.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 xml:space="preserve">TRUE, also on cell level in case of virtual </w:t>
            </w:r>
            <w:r>
              <w:rPr>
                <w:rFonts w:ascii="Consolas" w:hAnsi="Consolas"/>
                <w:shd w:val="clear" w:color="auto" w:fill="F2F2F2"/>
              </w:rPr>
              <w:t>&lt;text&gt;</w:t>
            </w:r>
          </w:p>
        </w:tc>
      </w:tr>
      <w:tr>
        <w:tc>
          <w:tcPr>
            <w:tcW w:type="dxa" w:w="4320"/>
          </w:tcPr>
          <w:p>
            <w:r/>
            <w:r>
              <w:t>Raw text</w:t>
            </w:r>
          </w:p>
        </w:tc>
        <w:tc>
          <w:tcPr>
            <w:tcW w:type="dxa" w:w="4320"/>
          </w:tcPr>
          <w:p>
            <w:r/>
            <w:r>
              <w:t xml:space="preserve">Only on cell level, in case of virtual </w:t>
            </w:r>
            <w:r>
              <w:rPr>
                <w:rFonts w:ascii="Consolas" w:hAnsi="Consolas"/>
                <w:shd w:val="clear" w:color="auto" w:fill="F2F2F2"/>
              </w:rPr>
              <w:t>&lt;text&gt;</w:t>
            </w:r>
          </w:p>
        </w:tc>
      </w:tr>
      <w:tr>
        <w:tc>
          <w:tcPr>
            <w:tcW w:type="dxa" w:w="4320"/>
          </w:tcPr>
          <w:p>
            <w:r/>
            <w:r>
              <w:t>Semantic elements</w:t>
            </w:r>
          </w:p>
        </w:tc>
        <w:tc>
          <w:tcPr>
            <w:tcW w:type="dxa" w:w="432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&lt;group&gt;</w:t>
      </w:r>
    </w:p>
    <w:p>
      <w:r>
        <w:t>Container for encapsulating multiple semantic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&lt;field_heading&gt;</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&lt;field_item&gt;</w:t>
      </w:r>
    </w:p>
    <w:p>
      <w:r>
        <w:t>Scoping of a field key (optional) and any corresponding values.</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&lt;key&gt;</w:t>
      </w:r>
    </w:p>
    <w:p>
      <w:r>
        <w:t>The key of a field (may correspond to  0-N field values).</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&lt;value&gt;</w:t>
      </w:r>
    </w:p>
    <w:p>
      <w:r>
        <w:t>A value of a field (may correspond to 0 or 1 field key).</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&lt;hint&gt;</w:t>
      </w:r>
    </w:p>
    <w:p>
      <w:r>
        <w:t>A hint regarding a field.</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3"/>
      </w:pPr>
      <w:r>
        <w:t>Component Head Elements</w:t>
      </w:r>
    </w:p>
    <w:p>
      <w:r>
        <w:t>The component head is a sequence comprising the following elements in this order, whereby all elements are optional:</w:t>
      </w:r>
      <w:r>
        <w:br/>
      </w:r>
    </w:p>
    <w:p>
      <w:pPr>
        <w:pStyle w:val="ListBullet"/>
      </w:pPr>
      <w:r>
        <w:rPr>
          <w:rFonts w:ascii="Consolas" w:hAnsi="Consolas"/>
          <w:shd w:val="clear" w:color="auto" w:fill="F2F2F2"/>
        </w:rPr>
        <w:t>&lt;thread&gt;</w:t>
      </w:r>
    </w:p>
    <w:p>
      <w:pPr>
        <w:pStyle w:val="ListBullet"/>
      </w:pPr>
      <w:r>
        <w:rPr>
          <w:rFonts w:ascii="Consolas" w:hAnsi="Consolas"/>
          <w:shd w:val="clear" w:color="auto" w:fill="F2F2F2"/>
        </w:rPr>
        <w:t>&lt;h_thread&gt;</w:t>
      </w:r>
    </w:p>
    <w:p>
      <w:pPr>
        <w:pStyle w:val="ListBullet"/>
      </w:pPr>
      <w:r>
        <w:rPr>
          <w:rFonts w:ascii="Consolas" w:hAnsi="Consolas"/>
          <w:shd w:val="clear" w:color="auto" w:fill="F2F2F2"/>
        </w:rPr>
        <w:t>&lt;meta&gt;</w:t>
      </w:r>
    </w:p>
    <w:p>
      <w:pPr>
        <w:pStyle w:val="ListBullet"/>
      </w:pPr>
      <w:r>
        <w:t xml:space="preserve">sequence of 2*N </w:t>
      </w:r>
      <w:r>
        <w:rPr>
          <w:rFonts w:ascii="Consolas" w:hAnsi="Consolas"/>
          <w:shd w:val="clear" w:color="auto" w:fill="F2F2F2"/>
        </w:rPr>
        <w:t>&lt;location&gt;</w:t>
      </w:r>
      <w:r>
        <w:t>s (N&gt;1)</w:t>
      </w:r>
    </w:p>
    <w:p>
      <w:pPr>
        <w:pStyle w:val="ListBullet"/>
      </w:pPr>
      <w:r>
        <w:t xml:space="preserve">sequence of </w:t>
      </w:r>
      <w:r>
        <w:rPr>
          <w:rFonts w:ascii="Consolas" w:hAnsi="Consolas"/>
          <w:shd w:val="clear" w:color="auto" w:fill="F2F2F2"/>
        </w:rPr>
        <w:t>&lt;timestamp&gt;</w:t>
      </w:r>
      <w:r>
        <w:t>s</w:t>
      </w:r>
    </w:p>
    <w:p>
      <w:pPr>
        <w:pStyle w:val="ListBullet"/>
      </w:pPr>
      <w:r>
        <w:rPr>
          <w:rFonts w:ascii="Consolas" w:hAnsi="Consolas"/>
          <w:shd w:val="clear" w:color="auto" w:fill="F2F2F2"/>
        </w:rPr>
        <w:t>&lt;layer&gt;</w:t>
      </w:r>
    </w:p>
    <w:p>
      <w:r>
        <w:t>A component head can only appear as the leading content of a semantic element.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w:t>
      </w:r>
      <w:r>
        <w:br/>
      </w:r>
      <w:r>
        <w:t xml:space="preserve">To capture such a component, we define separate instances of the respective element and use a </w:t>
      </w:r>
      <w:r>
        <w:rPr>
          <w:rFonts w:ascii="Consolas" w:hAnsi="Consolas"/>
          <w:shd w:val="clear" w:color="auto" w:fill="F2F2F2"/>
        </w:rPr>
        <w:t>&lt;thread&gt;</w:t>
      </w:r>
      <w:r>
        <w:t xml:space="preserve">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Allowed Content Types</w:t>
      </w:r>
    </w:p>
    <w:p>
      <w:r>
        <w:t>None (empty element).</w:t>
      </w:r>
    </w:p>
    <w:p>
      <w:pPr>
        <w:pStyle w:val="Heading5"/>
      </w:pPr>
      <w:r>
        <w:t>Example</w:t>
      </w:r>
    </w:p>
    <w:p>
      <w:pPr>
        <w:pStyle w:val="Heading6"/>
      </w:pPr>
      <w:r>
        <w:t>Show document picture</w:t>
      </w:r>
    </w:p>
    <w:p>
      <w:r>
        <w:t>&lt;img src="reference/input/examples/thread.png" width="700"&gt;</w:t>
      </w:r>
    </w:p>
    <w:p>
      <w:pPr>
        <w:shd w:val="clear" w:color="auto" w:fill="F2F2F2"/>
      </w:pPr>
      <w:r>
        <w:rPr>
          <w:rFonts w:ascii="Consolas" w:hAnsi="Consolas"/>
          <w:sz w:val="18"/>
        </w:rPr>
        <w:t>&lt;doclang&gt;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&lt;meta&gt;</w:t>
      </w:r>
    </w:p>
    <w:p>
      <w:r>
        <w:t>Used to store additional or derived information regarding the respective component.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r>
              <w:rPr>
                <w:rFonts w:ascii="Consolas" w:hAnsi="Consolas"/>
                <w:shd w:val="clear" w:color="auto" w:fill="F2F2F2"/>
              </w:rPr>
              <w:t>&lt;default_resolution&gt;</w:t>
            </w:r>
            <w:r>
              <w:t>, otherwise "512"</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&lt;timestamp&gt;</w:t>
      </w:r>
    </w:p>
    <w:p>
      <w:r>
        <w:t xml:space="preserve">TBD. Needed,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&lt;hour&gt;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&lt;minute&gt;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&lt;centisecond&gt;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&lt;layer&gt;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&lt;classification&gt;</w:t>
      </w:r>
    </w:p>
    <w:p>
      <w:pPr>
        <w:pStyle w:val="Heading5"/>
      </w:pPr>
      <w:r>
        <w:t>Allowed Context</w:t>
      </w:r>
    </w:p>
    <w:p>
      <w:r>
        <w:t xml:space="preserve">Can only be child of </w:t>
      </w:r>
      <w:r>
        <w:rPr>
          <w:rFonts w:ascii="Consolas" w:hAnsi="Consolas"/>
          <w:shd w:val="clear" w:color="auto" w:fill="F2F2F2"/>
        </w:rPr>
        <w:t>&lt;meta&gt;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 xml:space="preserve">Can only be child of </w:t>
      </w:r>
      <w:r>
        <w:rPr>
          <w:rFonts w:ascii="Consolas" w:hAnsi="Consolas"/>
          <w:shd w:val="clear" w:color="auto" w:fill="F2F2F2"/>
        </w:rPr>
        <w:t>&lt;picture&gt;</w:t>
      </w:r>
      <w:r>
        <w:t xml:space="preserve"> or first child of </w:t>
      </w:r>
      <w:r>
        <w:rPr>
          <w:rFonts w:ascii="Consolas" w:hAnsi="Consolas"/>
          <w:shd w:val="clear" w:color="auto" w:fill="F2F2F2"/>
        </w:rPr>
        <w:t>&lt;hyperlink&gt;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pPr>
        <w:pStyle w:val="Heading5"/>
      </w:pPr>
      <w:r>
        <w:t>Allowed Content Types</w:t>
      </w:r>
    </w:p>
    <w:p>
      <w:r>
        <w:t>None (empty element).</w:t>
      </w:r>
    </w:p>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&lt;hyperlink&gt;</w:t>
      </w:r>
    </w:p>
    <w:p>
      <w:r>
        <w:t xml:space="preserve">Contains a </w:t>
      </w:r>
      <w:r>
        <w:rPr>
          <w:rFonts w:ascii="Consolas" w:hAnsi="Consolas"/>
          <w:shd w:val="clear" w:color="auto" w:fill="F2F2F2"/>
        </w:rPr>
        <w:t>&lt;uri&gt;</w:t>
      </w:r>
      <w:r>
        <w:t xml:space="preserve">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Structural Elements</w:t>
      </w:r>
    </w:p>
    <w:p>
      <w:r>
        <w:t>Structural elements define boundaries within explicitly structured components like tables and lists.</w:t>
      </w:r>
    </w:p>
    <w:p>
      <w:pPr>
        <w:pStyle w:val="Heading4"/>
      </w:pPr>
      <w:r>
        <w:t>&lt;fcel&gt;</w:t>
      </w:r>
    </w:p>
    <w:p>
      <w:r>
        <w:t>Indicates the beginning of a full / regular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&lt;ecel&gt;</w:t>
      </w:r>
    </w:p>
    <w:p>
      <w:r>
        <w:t>Indicates the beginning of an empty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&lt;ched&gt;</w:t>
      </w:r>
    </w:p>
    <w:p>
      <w:r>
        <w:t>Indicates the beginning of a column header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&lt;rhed&gt;</w:t>
      </w:r>
    </w:p>
    <w:p>
      <w:r>
        <w:t>Indicates the beginning of a row header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&lt;corn&gt;</w:t>
      </w:r>
    </w:p>
    <w:p>
      <w:r>
        <w:t>Indicates the beginning of a corner cell, typically the top-left header intersection.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&lt;srow&gt;</w:t>
      </w:r>
    </w:p>
    <w:p>
      <w:r>
        <w:t>Indicates the beginning of a section row header.</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&lt;lcel&gt;</w:t>
      </w:r>
    </w:p>
    <w:p>
      <w:r>
        <w:t>Left-merge extension token; extends the previous cell horizontally (colspan continuation).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&lt;ucel&gt;</w:t>
      </w:r>
    </w:p>
    <w:p>
      <w:r>
        <w:t>Upward-merge extension token; extends the cell above vertically (rowspan continuation)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&lt;xcel&gt;</w:t>
      </w:r>
    </w:p>
    <w:p>
      <w:r>
        <w:t>Cross/combined span extension token; used where both horizontal and vertical spanning intersect.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&lt;nl&gt;</w:t>
      </w:r>
    </w:p>
    <w:p>
      <w:r>
        <w:t>New line / new table row</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&lt;ldiv&gt;</w:t>
      </w:r>
    </w:p>
    <w:p>
      <w:r>
        <w:t xml:space="preserve">Indicates the beginning of a list item. It can either be empty or contain a </w:t>
      </w:r>
      <w:r>
        <w:rPr>
          <w:rFonts w:ascii="Consolas" w:hAnsi="Consolas"/>
          <w:shd w:val="clear" w:color="auto" w:fill="F2F2F2"/>
        </w:rPr>
        <w:t>&lt;marker&gt;</w:t>
      </w:r>
      <w:r>
        <w:t>.</w:t>
      </w:r>
    </w:p>
    <w:p>
      <w:pPr>
        <w:pStyle w:val="Heading5"/>
      </w:pPr>
      <w:r>
        <w:t>Allowed Context</w:t>
      </w:r>
    </w:p>
    <w:p>
      <w:r>
        <w:t xml:space="preserve">Can only be child of </w:t>
      </w:r>
      <w:r>
        <w:rPr>
          <w:rFonts w:ascii="Consolas" w:hAnsi="Consolas"/>
          <w:shd w:val="clear" w:color="auto" w:fill="F2F2F2"/>
        </w:rPr>
        <w:t>&lt;list&gt;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 xml:space="preserve">Only </w:t>
            </w:r>
            <w:r>
              <w:rPr>
                <w:rFonts w:ascii="Consolas" w:hAnsi="Consolas"/>
                <w:shd w:val="clear" w:color="auto" w:fill="F2F2F2"/>
              </w:rPr>
              <w:t>&lt;marker&gt;</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&lt;topic&gt;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2"/>
      </w:pPr>
      <w:r>
        <w:t>Appendix B: Metadata</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3"/>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4"/>
      </w:pPr>
      <w:r>
        <w:t>Governance and compliance metadata</w:t>
      </w:r>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pPr>
        <w:pStyle w:val="Heading5"/>
      </w:pPr>
      <w:r>
        <w:t>Standards reference and interpretation</w:t>
      </w:r>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pPr>
        <w:pStyle w:val="Heading5"/>
      </w:pPr>
      <w:r>
        <w:t>Governance narrative and flow</w:t>
      </w:r>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pPr>
        <w:pStyle w:val="Heading5"/>
      </w:pPr>
      <w:r>
        <w:t>Naming and terminology conventions</w:t>
      </w:r>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pPr>
        <w:pStyle w:val="Heading5"/>
      </w:pPr>
      <w:r>
        <w:t>Governance overview</w:t>
      </w:r>
    </w:p>
    <w:p>
      <w:r>
        <w:t>Governance metadata is intended to be machine-actionable: it should enable downstream systems (including AI systems) to determine what is permitted, under what constraints, and with what obligations.</w:t>
      </w:r>
    </w:p>
    <w:p>
      <w:pPr>
        <w:pStyle w:val="Heading5"/>
      </w:pPr>
      <w:r>
        <w:t>Licensing and rights</w:t>
      </w:r>
    </w:p>
    <w:p>
      <w:pPr>
        <w:pStyle w:val="ListBullet"/>
        <w:ind w:left="360" w:hanging="360"/>
      </w:pPr>
      <w:r>
        <w:rPr>
          <w:rFonts w:ascii="Consolas" w:hAnsi="Consolas"/>
          <w:shd w:val="clear" w:color="auto" w:fill="F2F2F2"/>
        </w:rPr>
        <w:t>licenses</w:t>
      </w:r>
      <w:r>
        <w:t xml:space="preserve"> Indicate one or more licenses covering use of the document.</w:t>
      </w:r>
    </w:p>
    <w:p>
      <w:pPr>
        <w:pStyle w:val="Heading5"/>
      </w:pPr>
      <w:r>
        <w:t>Data classification and privacy posture</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pPr>
        <w:pStyle w:val="Heading5"/>
      </w:pPr>
      <w:r>
        <w:t>Acceptable use and purpose limitation</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Heading5"/>
      </w:pPr>
      <w:r>
        <w:t>Stewardship and contact</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pPr>
        <w:pStyle w:val="Heading5"/>
      </w:pPr>
      <w:r>
        <w:t>Access control policy</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pPr>
        <w:pStyle w:val="Heading5"/>
      </w:pPr>
      <w:r>
        <w:t>Retention and deletion</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Heading5"/>
      </w:pPr>
      <w:r>
        <w:t>Compliance frameworks</w:t>
      </w:r>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pPr>
        <w:pStyle w:val="Heading5"/>
      </w:pPr>
      <w:r>
        <w:t>Privacy and PII controls</w:t>
      </w:r>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pPr>
        <w:pStyle w:val="Heading5"/>
      </w:pPr>
      <w:r>
        <w:t>Data extraction controls</w:t>
      </w:r>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pPr>
        <w:pStyle w:val="Heading5"/>
      </w:pPr>
      <w:r>
        <w:t>RAG and retrieval controls</w:t>
      </w:r>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pPr>
        <w:pStyle w:val="Heading5"/>
      </w:pPr>
      <w:r>
        <w:t>Document training controls</w:t>
      </w:r>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pPr>
        <w:pStyle w:val="Heading5"/>
      </w:pPr>
      <w:r>
        <w:t>Minimal and full governance profiles</w:t>
      </w:r>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pPr>
        <w:pStyle w:val="Heading5"/>
      </w:pPr>
      <w:r>
        <w:t>Example</w:t>
      </w:r>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5"/>
      </w:pPr>
      <w:r>
        <w:t>Consolidated example (PII + extraction + RAG + training)</w:t>
      </w:r>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pPr>
        <w:pStyle w:val="Heading2"/>
      </w:pPr>
      <w:r>
        <w:t>Appendix C: Validation Rules</w:t>
      </w:r>
    </w:p>
    <w:p>
      <w:pPr>
        <w:pStyle w:val="Heading3"/>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pPr>
        <w:pStyle w:val="Heading3"/>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3"/>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3"/>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