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Lists</w:t>
      </w:r>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&lt;src uri="assets/img/sample.png"/&gt;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References</w:t>
      </w:r>
    </w:p>
    <w:p>
      <w:pPr>
        <w:pStyle w:val="Heading4"/>
      </w:pPr>
      <w:r>
        <w:t>Cross-references</w:t>
      </w:r>
    </w:p>
    <w:p>
      <w:r>
        <w:t xml:space="preserve">Cross-references can be captured using the </w:t>
      </w:r>
      <w:r>
        <w:rPr>
          <w:rFonts w:ascii="Consolas" w:hAnsi="Consolas"/>
          <w:shd w:val="clear" w:color="auto" w:fill="F2F2F2"/>
        </w:rPr>
        <w:t>&lt;xref&gt;</w:t>
      </w:r>
      <w:r>
        <w:t xml:space="preserve"> element as part of the component head, for pointing to a thread based on the </w:t>
      </w:r>
      <w:r>
        <w:rPr>
          <w:rFonts w:ascii="Consolas" w:hAnsi="Consolas"/>
          <w:shd w:val="clear" w:color="auto" w:fill="F2F2F2"/>
        </w:rPr>
        <w:t>thread_id</w:t>
      </w:r>
      <w:r>
        <w:t>.</w:t>
      </w:r>
    </w:p>
    <w:p>
      <w:pPr>
        <w:pStyle w:val="Heading5"/>
      </w:pPr>
      <w:r>
        <w:t>Cross-referencee example</w:t>
      </w:r>
    </w:p>
    <w:p>
      <w:r>
        <w:drawing>
          <wp:inline xmlns:a="http://schemas.openxmlformats.org/drawingml/2006/main" xmlns:pic="http://schemas.openxmlformats.org/drawingml/2006/picture">
            <wp:extent cx="5486400" cy="3268759"/>
            <wp:docPr id="17" name="Picture 17"/>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pPr>
        <w:pStyle w:val="Heading4"/>
      </w:pPr>
      <w:r>
        <w:t>Hyperlinks</w:t>
      </w:r>
    </w:p>
    <w:p>
      <w:r>
        <w:t xml:space="preserve">Hyperlinks can be captured using the </w:t>
      </w:r>
      <w:r>
        <w:rPr>
          <w:rFonts w:ascii="Consolas" w:hAnsi="Consolas"/>
          <w:shd w:val="clear" w:color="auto" w:fill="F2F2F2"/>
        </w:rPr>
        <w:t>&lt;href&gt;</w:t>
      </w:r>
      <w:r>
        <w:t xml:space="preserve"> element as part of the component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 xml:space="preserve">Represents a piece of cohesive text as that would appear in a paragraph. Note: a special construct related to this element is the so-called "virtual </w:t>
      </w:r>
      <w:r>
        <w:rPr>
          <w:rFonts w:ascii="Consolas" w:hAnsi="Consolas"/>
          <w:shd w:val="clear" w:color="auto" w:fill="F2F2F2"/>
        </w:rPr>
        <w:t>&lt;text&gt;</w:t>
      </w:r>
      <w:r>
        <w:t xml:space="preserve">", which can occur only as a list item or a table cell — see </w:t>
      </w:r>
      <w:r>
        <w:rPr>
          <w:rFonts w:ascii="Consolas" w:hAnsi="Consolas"/>
          <w:shd w:val="clear" w:color="auto" w:fill="F2F2F2"/>
        </w:rPr>
        <w:t>&lt;list&gt;</w:t>
      </w:r>
      <w:r>
        <w:t xml:space="preserve"> and </w:t>
      </w:r>
      <w:r>
        <w:rPr>
          <w:rFonts w:ascii="Consolas" w:hAnsi="Consolas"/>
          <w:shd w:val="clear" w:color="auto" w:fill="F2F2F2"/>
        </w:rPr>
        <w:t>&lt;table&gt;</w:t>
      </w:r>
      <w:r>
        <w:t xml:space="preserve"> below for details.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 xml:space="preserve">Captures a list. List items are delimited by the respective structural elements. A list item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&lt;table&gt;</w:t>
      </w:r>
    </w:p>
    <w:p>
      <w:r>
        <w:t xml:space="preserve">Captures a table, in a format inspired by OTSL. Table cells are delimited by the respective structural elements. A table cell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&lt;xref&gt;</w:t>
      </w:r>
      <w:r>
        <w:t xml:space="preserve"> or </w:t>
      </w:r>
      <w:r>
        <w:rPr>
          <w:rFonts w:ascii="Consolas" w:hAnsi="Consolas"/>
          <w:shd w:val="clear" w:color="auto" w:fill="F2F2F2"/>
        </w:rPr>
        <w:t>&lt;href&gt;</w:t>
      </w:r>
      <w:r>
        <w:t xml:space="preserve"> (mutually exclusive)</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Positive integer</w:t>
            </w:r>
          </w:p>
        </w:tc>
        <w:tc>
          <w:tcPr>
            <w:tcW w:type="dxa" w:w="2160"/>
          </w:tcPr>
          <w:p>
            <w:r/>
          </w:p>
        </w:tc>
      </w:tr>
    </w:tbl>
    <w:p>
      <w:pPr>
        <w:pStyle w:val="Heading5"/>
      </w:pPr>
      <w:r>
        <w:t>Allowed Content Types</w:t>
      </w:r>
    </w:p>
    <w:p>
      <w:r>
        <w:t>None (empty element).</w:t>
      </w:r>
    </w:p>
    <w:p>
      <w:pPr>
        <w:pStyle w:val="Heading4"/>
      </w:pPr>
      <w:r>
        <w:t>&lt;xref&gt;</w:t>
      </w:r>
    </w:p>
    <w:p>
      <w:r>
        <w:t>Optional part of the component head; serves for capturing an outgoing cross-reference from this component.</w:t>
      </w:r>
    </w:p>
    <w:p>
      <w:pPr>
        <w:pStyle w:val="Heading5"/>
      </w:pPr>
      <w:r>
        <w:t>Allowed Context</w:t>
      </w:r>
    </w:p>
    <w:p>
      <w:r>
        <w:t xml:space="preserve">Can only be child of a semantic element. Mutually exclusive with </w:t>
      </w:r>
      <w:r>
        <w:rPr>
          <w:rFonts w:ascii="Consolas" w:hAnsi="Consolas"/>
          <w:shd w:val="clear" w:color="auto" w:fill="F2F2F2"/>
        </w:rPr>
        <w:t>&lt;href&gt;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pPr>
        <w:pStyle w:val="Heading5"/>
      </w:pPr>
      <w:r>
        <w:t>Allowed Content Types</w:t>
      </w:r>
    </w:p>
    <w:p>
      <w:r>
        <w:t>None (empty element).</w:t>
      </w:r>
    </w:p>
    <w:p>
      <w:pPr>
        <w:pStyle w:val="Heading4"/>
      </w:pPr>
      <w:r>
        <w:t>&lt;href&gt;</w:t>
      </w:r>
    </w:p>
    <w:p>
      <w:r>
        <w:t>Optional part of the component head; serves for capturing a URI referenced by this component.</w:t>
      </w:r>
    </w:p>
    <w:p>
      <w:pPr>
        <w:pStyle w:val="Heading5"/>
      </w:pPr>
      <w:r>
        <w:t>Allowed Context</w:t>
      </w:r>
    </w:p>
    <w:p>
      <w:r>
        <w:t xml:space="preserve">Can only be child of a semantic element. Mutually exclusive with </w:t>
      </w:r>
      <w:r>
        <w:rPr>
          <w:rFonts w:ascii="Consolas" w:hAnsi="Consolas"/>
          <w:shd w:val="clear" w:color="auto" w:fill="F2F2F2"/>
        </w:rPr>
        <w:t>&lt;xref&gt;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Positive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&lt;src&gt;</w:t>
      </w:r>
    </w:p>
    <w:p>
      <w:r>
        <w:t>The image's source.</w:t>
      </w:r>
    </w:p>
    <w:p>
      <w:pPr>
        <w:pStyle w:val="Heading5"/>
      </w:pPr>
      <w:r>
        <w:t>Allowed Context</w:t>
      </w:r>
    </w:p>
    <w:p>
      <w:r>
        <w:t xml:space="preserve">Can only be child of </w:t>
      </w:r>
      <w:r>
        <w:rPr>
          <w:rFonts w:ascii="Consolas" w:hAnsi="Consolas"/>
          <w:shd w:val="clear" w:color="auto" w:fill="F2F2F2"/>
        </w:rPr>
        <w:t>&lt;picture&gt;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pPr>
        <w:pStyle w:val="Heading5"/>
      </w:pPr>
      <w:r>
        <w:t>Allowed Content Types</w:t>
      </w:r>
    </w:p>
    <w:p>
      <w:r>
        <w:t>None (empty element).</w:t>
      </w:r>
    </w:p>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r>
        <w:t>Indicates the beginning of a full / regular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r>
        <w:t>Indicates the beginning of an empty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r>
        <w:t>Indicates the beginning of a column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r>
        <w:t>Indicates the beginning of a row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r>
        <w:t>Indicates the beginning of a corner cell, typically the top-left header intersection.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r>
        <w:t>Indicates the beginning of a section row header.</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r>
        <w:t>Left-merge extension token; extends the previous cell horizontally (colspan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r>
        <w:t>Upward-merge extension token; extends the cell above vertically (rowspan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r>
        <w:t>Cross/combined span extension token; used where both horizontal and vertical spanning intersect.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r>
        <w:t>New line / new table row</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Indicates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2">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